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u w:val="single"/>
        </w:rPr>
      </w:pPr>
      <w:bookmarkStart w:id="0" w:name="_GoBack"/>
      <w:bookmarkEnd w:id="0"/>
      <w:r>
        <w:rPr>
          <w:rFonts w:hint="eastAsia"/>
          <w:sz w:val="32"/>
          <w:szCs w:val="32"/>
          <w:u w:val="single"/>
        </w:rPr>
        <w:t xml:space="preserve"> </w:t>
      </w:r>
    </w:p>
    <w:p>
      <w:pPr>
        <w:rPr>
          <w:sz w:val="32"/>
          <w:szCs w:val="32"/>
          <w:u w:val="single"/>
        </w:rPr>
      </w:pPr>
    </w:p>
    <w:p>
      <w:pPr>
        <w:rPr>
          <w:sz w:val="32"/>
          <w:szCs w:val="32"/>
          <w:u w:val="single"/>
        </w:rPr>
      </w:pPr>
    </w:p>
    <w:p>
      <w:pPr>
        <w:rPr>
          <w:sz w:val="32"/>
          <w:szCs w:val="32"/>
          <w:u w:val="single"/>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仿宋" w:hAnsi="仿宋" w:eastAsia="仿宋"/>
          <w:b/>
          <w:sz w:val="52"/>
          <w:szCs w:val="52"/>
        </w:rPr>
      </w:pPr>
      <w:r>
        <w:rPr>
          <w:rFonts w:hint="eastAsia" w:ascii="仿宋" w:hAnsi="仿宋" w:eastAsia="仿宋"/>
          <w:b/>
          <w:sz w:val="52"/>
          <w:szCs w:val="52"/>
        </w:rPr>
        <w:t>2024年海口市市政管理局</w:t>
      </w:r>
    </w:p>
    <w:p>
      <w:pPr>
        <w:jc w:val="center"/>
        <w:rPr>
          <w:rFonts w:ascii="仿宋" w:hAnsi="仿宋" w:eastAsia="仿宋" w:cs="仿宋"/>
          <w:b/>
          <w:sz w:val="52"/>
          <w:szCs w:val="52"/>
        </w:rPr>
      </w:pPr>
      <w:r>
        <w:rPr>
          <w:rFonts w:hint="eastAsia" w:ascii="仿宋" w:hAnsi="仿宋" w:eastAsia="仿宋" w:cs="仿宋"/>
          <w:b/>
          <w:sz w:val="52"/>
          <w:szCs w:val="52"/>
        </w:rPr>
        <w:t>（海口市综合行政执法局）单位预算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目录</w:t>
      </w:r>
    </w:p>
    <w:p>
      <w:pPr>
        <w:pStyle w:val="6"/>
        <w:widowControl w:val="0"/>
        <w:numPr>
          <w:ilvl w:val="0"/>
          <w:numId w:val="1"/>
        </w:numPr>
        <w:adjustRightInd/>
        <w:snapToGrid/>
        <w:spacing w:after="0"/>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海口市市政管理局（海口市综合行政执法局）单位概况</w:t>
      </w:r>
    </w:p>
    <w:p>
      <w:pPr>
        <w:pStyle w:val="6"/>
        <w:widowControl w:val="0"/>
        <w:numPr>
          <w:ilvl w:val="0"/>
          <w:numId w:val="2"/>
        </w:numPr>
        <w:adjustRightInd/>
        <w:snapToGrid/>
        <w:spacing w:after="0"/>
        <w:ind w:firstLineChars="0"/>
        <w:rPr>
          <w:rFonts w:ascii="黑体" w:hAnsi="黑体" w:eastAsia="黑体"/>
          <w:sz w:val="32"/>
          <w:szCs w:val="32"/>
        </w:rPr>
      </w:pPr>
      <w:r>
        <w:rPr>
          <w:rFonts w:hint="eastAsia" w:ascii="黑体" w:hAnsi="黑体" w:eastAsia="黑体"/>
          <w:sz w:val="32"/>
          <w:szCs w:val="32"/>
        </w:rPr>
        <w:t>主要职能</w:t>
      </w:r>
    </w:p>
    <w:p>
      <w:pPr>
        <w:pStyle w:val="6"/>
        <w:widowControl w:val="0"/>
        <w:numPr>
          <w:ilvl w:val="0"/>
          <w:numId w:val="1"/>
        </w:numPr>
        <w:adjustRightInd/>
        <w:snapToGrid/>
        <w:spacing w:after="0"/>
        <w:ind w:firstLineChars="0"/>
        <w:jc w:val="both"/>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海口市市政管理局（海口市综合行政执法局）2024</w:t>
      </w:r>
      <w:r>
        <w:rPr>
          <w:rFonts w:hint="eastAsia" w:ascii="黑体" w:hAnsi="黑体" w:eastAsia="黑体"/>
          <w:sz w:val="32"/>
          <w:szCs w:val="32"/>
        </w:rPr>
        <w:t>年单位预算表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财政拨款收支总表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一般公共预算支出表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一般公共预算基本支出表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一般公共预算“三公”经费支出表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政府性基金预算支出表。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政府性基金预算“三公”经费支出表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部门（单位）收支总表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部门（单位）收入总表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部门（单位）支出总表</w:t>
      </w:r>
    </w:p>
    <w:p>
      <w:pPr>
        <w:pStyle w:val="6"/>
        <w:widowControl w:val="0"/>
        <w:numPr>
          <w:ilvl w:val="0"/>
          <w:numId w:val="3"/>
        </w:numPr>
        <w:adjustRightInd/>
        <w:snapToGrid/>
        <w:spacing w:after="0"/>
        <w:ind w:left="720" w:firstLineChars="0"/>
        <w:jc w:val="both"/>
        <w:rPr>
          <w:rFonts w:ascii="仿宋" w:hAnsi="仿宋" w:eastAsia="仿宋" w:cs="仿宋_GB2312"/>
          <w:kern w:val="2"/>
          <w:sz w:val="32"/>
          <w:szCs w:val="32"/>
        </w:rPr>
      </w:pPr>
      <w:r>
        <w:rPr>
          <w:rFonts w:hint="eastAsia" w:ascii="仿宋" w:hAnsi="仿宋" w:eastAsia="仿宋" w:cs="仿宋_GB2312"/>
          <w:kern w:val="2"/>
          <w:sz w:val="32"/>
          <w:szCs w:val="32"/>
        </w:rPr>
        <w:t>项目支出绩效信息表</w:t>
      </w:r>
    </w:p>
    <w:p>
      <w:pPr>
        <w:pStyle w:val="6"/>
        <w:widowControl w:val="0"/>
        <w:numPr>
          <w:ilvl w:val="0"/>
          <w:numId w:val="1"/>
        </w:numPr>
        <w:adjustRightInd/>
        <w:snapToGrid/>
        <w:spacing w:after="0"/>
        <w:ind w:firstLineChars="0"/>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海口市市政管理局（海口市综合行政执法局）2024</w:t>
      </w:r>
      <w:r>
        <w:rPr>
          <w:rFonts w:hint="eastAsia" w:ascii="黑体" w:hAnsi="黑体" w:eastAsia="黑体"/>
          <w:sz w:val="32"/>
          <w:szCs w:val="32"/>
        </w:rPr>
        <w:t>年单位预算情况说明</w:t>
      </w:r>
    </w:p>
    <w:p>
      <w:pPr>
        <w:pStyle w:val="6"/>
        <w:widowControl w:val="0"/>
        <w:numPr>
          <w:ilvl w:val="0"/>
          <w:numId w:val="1"/>
        </w:numPr>
        <w:adjustRightInd/>
        <w:snapToGrid/>
        <w:spacing w:after="0"/>
        <w:ind w:firstLineChars="0"/>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pStyle w:val="6"/>
        <w:widowControl w:val="0"/>
        <w:numPr>
          <w:ilvl w:val="0"/>
          <w:numId w:val="4"/>
        </w:numPr>
        <w:adjustRightInd/>
        <w:snapToGrid/>
        <w:spacing w:after="0"/>
        <w:ind w:firstLineChars="0"/>
        <w:jc w:val="center"/>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海口市市政管理局</w:t>
      </w:r>
    </w:p>
    <w:p>
      <w:pPr>
        <w:pStyle w:val="6"/>
        <w:ind w:firstLine="0" w:firstLineChars="0"/>
        <w:jc w:val="center"/>
        <w:rPr>
          <w:rFonts w:ascii="黑体" w:hAnsi="黑体" w:eastAsia="黑体" w:cs="仿宋_GB2312"/>
          <w:sz w:val="32"/>
          <w:szCs w:val="32"/>
        </w:rPr>
      </w:pPr>
      <w:r>
        <w:rPr>
          <w:rFonts w:hint="eastAsia" w:ascii="黑体" w:hAnsi="黑体" w:eastAsia="黑体" w:cs="仿宋_GB2312"/>
          <w:sz w:val="32"/>
          <w:szCs w:val="32"/>
        </w:rPr>
        <w:t>（海口市综合行政执法局）</w:t>
      </w:r>
      <w:r>
        <w:rPr>
          <w:rFonts w:hint="eastAsia" w:ascii="黑体" w:hAnsi="黑体" w:eastAsia="黑体"/>
          <w:sz w:val="32"/>
          <w:szCs w:val="32"/>
        </w:rPr>
        <w:t>单位概况</w:t>
      </w:r>
    </w:p>
    <w:p>
      <w:pPr>
        <w:rPr>
          <w:rFonts w:ascii="仿宋_GB2312" w:hAnsi="仿宋_GB2312" w:eastAsia="仿宋_GB2312" w:cs="仿宋_GB2312"/>
          <w:sz w:val="32"/>
          <w:szCs w:val="32"/>
        </w:rPr>
      </w:pPr>
    </w:p>
    <w:p>
      <w:pPr>
        <w:pStyle w:val="6"/>
        <w:spacing w:line="600" w:lineRule="exact"/>
        <w:ind w:firstLine="0" w:firstLineChars="0"/>
        <w:rPr>
          <w:rFonts w:ascii="黑体" w:hAnsi="黑体" w:eastAsia="黑体" w:cs="仿宋_GB2312"/>
          <w:sz w:val="32"/>
          <w:szCs w:val="32"/>
        </w:rPr>
      </w:pPr>
      <w:r>
        <w:rPr>
          <w:rFonts w:hint="eastAsia" w:ascii="黑体" w:hAnsi="黑体" w:eastAsia="黑体" w:cs="仿宋_GB2312"/>
          <w:sz w:val="32"/>
          <w:szCs w:val="32"/>
        </w:rPr>
        <w:t>一、主要职能</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一）负责拟订并组织实施本市有关市政管理、综合行政执法工作的政策法规和发展规划，研究提出本市推进中国（海南）自由贸易试验区、中国特色自由贸易港建设有关市政管理和综合行政执法方面的意见和建议。</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（二）负责本市市政管理和综合行政执法工作的组织指导、统筹协调、监督检查、综合考评和应急处置；负责组织开展市政管理和综合行政执法的宣传教育和培训工作。</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（三）负责制订本市户外设置物管理技术规范标准并监督实施。</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（四）负责本市城市户外设置物、市政设施、燃气、城市排水许可等方面职权范围内的行政审批。</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（五）负责依法组织有关行政许可和重大行政处罚案件的听证，受理行政复议案件和办理行政诉讼、行政复议、行政赔偿案件。</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（六）负责指导开展市政公用设施社会化、产业化的政策研究，推进市政公用设施公共服务的市场化、社会化和产业化发展。</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（七）负责市政系统安全生产和城镇燃气行业监督管理。统筹协调城镇燃气供应保障、经营秩序、服务质量、设施保护的监督管理；负责突发事件和防风防汛排涝中市政设施的应急抢修。</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（八）负责监督市政基础设施年度养护维修计划的落实以及市财政下达维修养护资金的使用情况；负责市政设施有偿使用管理和维护量核定；负责组织实施本市示范性、先导性、应急性的市政基础设施项目。</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九）负责市管市政排水管道设施及其附属市政设施（污水处理设施除外）的建设、管理、改造、养护、维修等工作；负责市管城市道路、桥隧、照明及其附属设施的管理、养护、维修工作；负责市管道路城市积水点的改扩建工作。</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（十）负责本市城市排水行业管理；负责拟订我市排水计划、标准与规范，制订并组织实施本市城市排水专项规划</w:t>
      </w:r>
      <w:r>
        <w:rPr>
          <w:rFonts w:ascii="仿宋" w:hAnsi="仿宋" w:eastAsia="仿宋" w:cs="仿宋_GB2312"/>
          <w:sz w:val="32"/>
          <w:szCs w:val="32"/>
        </w:rPr>
        <w:t>;</w:t>
      </w:r>
      <w:r>
        <w:rPr>
          <w:rFonts w:hint="eastAsia" w:ascii="仿宋" w:hAnsi="仿宋" w:eastAsia="仿宋" w:cs="仿宋_GB2312"/>
          <w:sz w:val="32"/>
          <w:szCs w:val="32"/>
        </w:rPr>
        <w:t>负责新建市管城市排水管道初步设计和技术方案审查；负责组织实施城市排水防涝工作。</w:t>
      </w:r>
    </w:p>
    <w:p>
      <w:pPr>
        <w:pStyle w:val="7"/>
        <w:autoSpaceDE w:val="0"/>
        <w:autoSpaceDN w:val="0"/>
        <w:spacing w:line="600" w:lineRule="exact"/>
        <w:ind w:firstLine="0" w:firstLineChars="0"/>
        <w:rPr>
          <w:rFonts w:ascii="仿宋" w:hAnsi="仿宋" w:eastAsia="仿宋" w:cs="仿宋_GB2312"/>
          <w:sz w:val="32"/>
          <w:szCs w:val="32"/>
        </w:rPr>
      </w:pPr>
      <w:r>
        <w:rPr>
          <w:rFonts w:hint="eastAsia" w:ascii="仿宋" w:hAnsi="仿宋" w:eastAsia="仿宋" w:cs="仿宋_GB2312"/>
          <w:sz w:val="32"/>
          <w:szCs w:val="32"/>
        </w:rPr>
        <w:t>（十一）负责跨领域综合行政执法队伍标准化、规范化建设工作；负责建立跨领域综合行政执法协作配合机制和监督指导机制；负责统筹指导、检查考核本市违法建设治理工作；承担市城市管理联席会议日常工作，组织协调落实会议议定事项。</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（十二）负责数字化、智慧化城市管理平台的建设、管理和运行维护。</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（十三）指导各区市政管理、综合行政执法工作。</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（十四）完成市委、市政府和上级部门交办的其他任务。</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（十五）有关职责分工</w:t>
      </w:r>
    </w:p>
    <w:p>
      <w:pPr>
        <w:autoSpaceDE w:val="0"/>
        <w:autoSpaceDN w:val="0"/>
        <w:spacing w:line="600" w:lineRule="exact"/>
        <w:rPr>
          <w:rFonts w:ascii="仿宋" w:hAnsi="仿宋" w:eastAsia="仿宋" w:cs="仿宋_GB2312"/>
          <w:sz w:val="32"/>
          <w:szCs w:val="32"/>
        </w:rPr>
      </w:pPr>
      <w:r>
        <w:rPr>
          <w:rFonts w:hint="eastAsia" w:ascii="仿宋" w:hAnsi="仿宋" w:eastAsia="仿宋" w:cs="仿宋_GB2312"/>
          <w:sz w:val="32"/>
          <w:szCs w:val="32"/>
        </w:rPr>
        <w:t>与市住房和城乡建设局的有关职责分工。市市政局负责市管城市道路、桥隧、照明、排水管道等市政相关设施的改扩建和养护维修工作，参与新建市管城市道路、桥隧、照明等市政相关设施项目的初步设计和技术方案审查。市住房和城乡建设局负责市政基础设施项目（道路、桥梁、城市地下管廊、城市隧道）的新建工作。</w:t>
      </w:r>
    </w:p>
    <w:p>
      <w:pPr>
        <w:pStyle w:val="6"/>
        <w:spacing w:line="600" w:lineRule="exact"/>
        <w:ind w:left="1160" w:firstLine="640"/>
        <w:rPr>
          <w:rFonts w:ascii="仿宋_GB2312" w:hAnsi="黑体" w:eastAsia="仿宋_GB2312" w:cs="仿宋_GB2312"/>
          <w:sz w:val="32"/>
          <w:szCs w:val="32"/>
        </w:rPr>
      </w:pPr>
    </w:p>
    <w:p>
      <w:pPr>
        <w:spacing w:line="600" w:lineRule="exact"/>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海口市市政管理局（海口市综合行政执法局）2024</w:t>
      </w:r>
      <w:r>
        <w:rPr>
          <w:rFonts w:hint="eastAsia" w:ascii="黑体" w:hAnsi="黑体" w:eastAsia="黑体"/>
          <w:sz w:val="32"/>
          <w:szCs w:val="32"/>
        </w:rPr>
        <w:t>年单位预算表</w:t>
      </w:r>
    </w:p>
    <w:p>
      <w:pPr>
        <w:spacing w:line="600" w:lineRule="exact"/>
        <w:ind w:left="800"/>
        <w:rPr>
          <w:rFonts w:ascii="黑体" w:hAnsi="黑体" w:eastAsia="黑体"/>
          <w:sz w:val="32"/>
          <w:szCs w:val="32"/>
        </w:rPr>
      </w:pP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财政拨款收支总表</w:t>
      </w:r>
      <w:r>
        <w:rPr>
          <w:rFonts w:hint="eastAsia" w:ascii="仿宋" w:hAnsi="仿宋" w:eastAsia="仿宋"/>
          <w:sz w:val="32"/>
          <w:szCs w:val="32"/>
        </w:rPr>
        <w:t>（见附表1）</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一般公共预算支出表</w:t>
      </w:r>
      <w:r>
        <w:rPr>
          <w:rFonts w:hint="eastAsia" w:ascii="仿宋" w:hAnsi="仿宋" w:eastAsia="仿宋"/>
          <w:sz w:val="32"/>
          <w:szCs w:val="32"/>
        </w:rPr>
        <w:t>（见附表2）</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一般公共预算基本支出表</w:t>
      </w:r>
      <w:r>
        <w:rPr>
          <w:rFonts w:hint="eastAsia" w:ascii="仿宋" w:hAnsi="仿宋" w:eastAsia="仿宋"/>
          <w:sz w:val="32"/>
          <w:szCs w:val="32"/>
        </w:rPr>
        <w:t>（见附表3）</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一般公共预算“三公”经费支出表</w:t>
      </w:r>
      <w:r>
        <w:rPr>
          <w:rFonts w:hint="eastAsia" w:ascii="仿宋" w:hAnsi="仿宋" w:eastAsia="仿宋"/>
          <w:sz w:val="32"/>
          <w:szCs w:val="32"/>
        </w:rPr>
        <w:t>（见附表4）</w:t>
      </w:r>
    </w:p>
    <w:p>
      <w:pPr>
        <w:pStyle w:val="7"/>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政府性基金预算支出表</w:t>
      </w:r>
      <w:r>
        <w:rPr>
          <w:rFonts w:hint="eastAsia" w:ascii="仿宋" w:hAnsi="仿宋" w:eastAsia="仿宋"/>
          <w:sz w:val="32"/>
          <w:szCs w:val="32"/>
        </w:rPr>
        <w:t>（见附表5）</w:t>
      </w:r>
    </w:p>
    <w:p>
      <w:pPr>
        <w:pStyle w:val="6"/>
        <w:widowControl w:val="0"/>
        <w:numPr>
          <w:ilvl w:val="0"/>
          <w:numId w:val="5"/>
        </w:numPr>
        <w:adjustRightInd/>
        <w:snapToGrid/>
        <w:spacing w:after="0" w:line="600" w:lineRule="exact"/>
        <w:ind w:firstLineChars="0"/>
        <w:jc w:val="both"/>
        <w:rPr>
          <w:rFonts w:ascii="仿宋" w:hAnsi="仿宋" w:eastAsia="仿宋" w:cs="仿宋_GB2312"/>
          <w:sz w:val="32"/>
          <w:szCs w:val="32"/>
        </w:rPr>
      </w:pPr>
      <w:r>
        <w:rPr>
          <w:rFonts w:hint="eastAsia" w:ascii="仿宋" w:hAnsi="仿宋" w:eastAsia="仿宋" w:cs="仿宋_GB2312"/>
          <w:sz w:val="32"/>
          <w:szCs w:val="32"/>
        </w:rPr>
        <w:t>政府性基金预算“三公”经费支出表</w:t>
      </w:r>
      <w:r>
        <w:rPr>
          <w:rFonts w:hint="eastAsia" w:ascii="仿宋" w:hAnsi="仿宋" w:eastAsia="仿宋"/>
          <w:sz w:val="32"/>
          <w:szCs w:val="32"/>
        </w:rPr>
        <w:t>（见附表6）</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部门（单位）收支总表</w:t>
      </w:r>
      <w:r>
        <w:rPr>
          <w:rFonts w:hint="eastAsia" w:ascii="仿宋" w:hAnsi="仿宋" w:eastAsia="仿宋"/>
          <w:sz w:val="32"/>
          <w:szCs w:val="32"/>
        </w:rPr>
        <w:t>（见附表7）</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部门（单位）收入总表</w:t>
      </w:r>
      <w:r>
        <w:rPr>
          <w:rFonts w:hint="eastAsia" w:ascii="仿宋" w:hAnsi="仿宋" w:eastAsia="仿宋"/>
          <w:sz w:val="32"/>
          <w:szCs w:val="32"/>
        </w:rPr>
        <w:t>（见附表8）</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部门（单位）支出总表</w:t>
      </w:r>
      <w:r>
        <w:rPr>
          <w:rFonts w:hint="eastAsia" w:ascii="仿宋" w:hAnsi="仿宋" w:eastAsia="仿宋"/>
          <w:sz w:val="32"/>
          <w:szCs w:val="32"/>
        </w:rPr>
        <w:t>（见附表9）</w:t>
      </w:r>
    </w:p>
    <w:p>
      <w:pPr>
        <w:pStyle w:val="6"/>
        <w:widowControl w:val="0"/>
        <w:numPr>
          <w:ilvl w:val="0"/>
          <w:numId w:val="5"/>
        </w:numPr>
        <w:adjustRightInd/>
        <w:snapToGrid/>
        <w:spacing w:after="0" w:line="600" w:lineRule="exact"/>
        <w:ind w:firstLineChars="0"/>
        <w:rPr>
          <w:rFonts w:ascii="仿宋" w:hAnsi="仿宋" w:eastAsia="仿宋"/>
          <w:sz w:val="32"/>
          <w:szCs w:val="32"/>
        </w:rPr>
      </w:pPr>
      <w:r>
        <w:rPr>
          <w:rFonts w:hint="eastAsia" w:ascii="仿宋" w:hAnsi="仿宋" w:eastAsia="仿宋" w:cs="仿宋_GB2312"/>
          <w:sz w:val="32"/>
          <w:szCs w:val="32"/>
        </w:rPr>
        <w:t>项目支出绩效信息表</w:t>
      </w:r>
      <w:r>
        <w:rPr>
          <w:rFonts w:hint="eastAsia" w:ascii="仿宋" w:hAnsi="仿宋" w:eastAsia="仿宋"/>
          <w:sz w:val="32"/>
          <w:szCs w:val="32"/>
        </w:rPr>
        <w:t>（见附表10）</w:t>
      </w:r>
    </w:p>
    <w:p>
      <w:pPr>
        <w:spacing w:line="600" w:lineRule="exact"/>
        <w:ind w:left="800"/>
        <w:jc w:val="center"/>
        <w:rPr>
          <w:rFonts w:ascii="仿宋_GB2312" w:hAnsi="黑体" w:eastAsia="仿宋_GB2312"/>
          <w:b/>
          <w:sz w:val="32"/>
          <w:szCs w:val="32"/>
        </w:rPr>
      </w:pPr>
    </w:p>
    <w:p>
      <w:pPr>
        <w:spacing w:line="600" w:lineRule="exact"/>
        <w:ind w:left="1760" w:hanging="1760" w:hangingChars="550"/>
        <w:rPr>
          <w:rFonts w:ascii="黑体" w:hAnsi="黑体" w:eastAsia="黑体" w:cs="仿宋_GB2312"/>
          <w:sz w:val="32"/>
          <w:szCs w:val="32"/>
        </w:rPr>
      </w:pPr>
      <w:r>
        <w:rPr>
          <w:rFonts w:hint="eastAsia" w:ascii="黑体" w:hAnsi="黑体" w:eastAsia="黑体" w:cs="仿宋_GB2312"/>
          <w:sz w:val="32"/>
          <w:szCs w:val="32"/>
        </w:rPr>
        <w:t>第三部分   海口市市政管理局（海口市综合行政执法局）2024年单位预算情况说明</w:t>
      </w:r>
    </w:p>
    <w:p>
      <w:pPr>
        <w:spacing w:line="600" w:lineRule="exact"/>
        <w:jc w:val="center"/>
        <w:rPr>
          <w:rFonts w:ascii="黑体" w:hAnsi="黑体" w:eastAsia="黑体"/>
          <w:sz w:val="32"/>
          <w:szCs w:val="32"/>
        </w:rPr>
      </w:pP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一、关于海口市市政管理局（海口市综合行政执法局）2024年财政拨款收支预算情况的总体说明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2024</w:t>
      </w:r>
      <w:r>
        <w:rPr>
          <w:rFonts w:hint="eastAsia" w:ascii="仿宋" w:hAnsi="仿宋" w:eastAsia="仿宋"/>
          <w:sz w:val="32"/>
          <w:szCs w:val="32"/>
        </w:rPr>
        <w:t>年财政拨款收支总预算</w:t>
      </w:r>
      <w:r>
        <w:rPr>
          <w:rFonts w:ascii="仿宋" w:hAnsi="仿宋" w:eastAsia="仿宋" w:cs="仿宋_GB2312"/>
          <w:sz w:val="32"/>
          <w:szCs w:val="32"/>
        </w:rPr>
        <w:t>54,494.16</w:t>
      </w:r>
      <w:r>
        <w:rPr>
          <w:rFonts w:hint="eastAsia" w:ascii="仿宋" w:hAnsi="仿宋" w:eastAsia="仿宋"/>
          <w:sz w:val="32"/>
          <w:szCs w:val="32"/>
        </w:rPr>
        <w:t>万元。其中，收入总计</w:t>
      </w:r>
      <w:r>
        <w:rPr>
          <w:rFonts w:ascii="仿宋" w:hAnsi="仿宋" w:eastAsia="仿宋" w:cs="仿宋_GB2312"/>
          <w:sz w:val="32"/>
          <w:szCs w:val="32"/>
        </w:rPr>
        <w:t>54,494.16</w:t>
      </w:r>
      <w:r>
        <w:rPr>
          <w:rFonts w:hint="eastAsia" w:ascii="仿宋" w:hAnsi="仿宋" w:eastAsia="仿宋"/>
          <w:sz w:val="32"/>
          <w:szCs w:val="32"/>
        </w:rPr>
        <w:t>万元，包括一般公共预算本年收入</w:t>
      </w:r>
      <w:r>
        <w:rPr>
          <w:rFonts w:ascii="仿宋" w:hAnsi="仿宋" w:eastAsia="仿宋" w:cs="仿宋_GB2312"/>
          <w:sz w:val="32"/>
          <w:szCs w:val="32"/>
        </w:rPr>
        <w:t>19,117.84</w:t>
      </w:r>
      <w:r>
        <w:rPr>
          <w:rFonts w:hint="eastAsia" w:ascii="仿宋" w:hAnsi="仿宋" w:eastAsia="仿宋"/>
          <w:sz w:val="32"/>
          <w:szCs w:val="32"/>
        </w:rPr>
        <w:t>万元、上年结转</w:t>
      </w:r>
      <w:r>
        <w:rPr>
          <w:rFonts w:ascii="仿宋" w:hAnsi="仿宋" w:eastAsia="仿宋" w:cs="仿宋_GB2312"/>
          <w:sz w:val="32"/>
          <w:szCs w:val="32"/>
        </w:rPr>
        <w:t>4,986.98</w:t>
      </w:r>
      <w:r>
        <w:rPr>
          <w:rFonts w:hint="eastAsia" w:ascii="仿宋" w:hAnsi="仿宋" w:eastAsia="仿宋"/>
          <w:sz w:val="32"/>
          <w:szCs w:val="32"/>
        </w:rPr>
        <w:t>万元，政府性基金预算本年收入</w:t>
      </w:r>
      <w:r>
        <w:rPr>
          <w:rFonts w:ascii="仿宋" w:hAnsi="仿宋" w:eastAsia="仿宋" w:cs="仿宋_GB2312"/>
          <w:sz w:val="32"/>
          <w:szCs w:val="32"/>
        </w:rPr>
        <w:t>27,773.68</w:t>
      </w:r>
      <w:r>
        <w:rPr>
          <w:rFonts w:hint="eastAsia" w:ascii="仿宋" w:hAnsi="仿宋" w:eastAsia="仿宋"/>
          <w:sz w:val="32"/>
          <w:szCs w:val="32"/>
        </w:rPr>
        <w:t>万元、上年结转</w:t>
      </w:r>
      <w:r>
        <w:rPr>
          <w:rFonts w:ascii="仿宋" w:hAnsi="仿宋" w:eastAsia="仿宋" w:cs="仿宋_GB2312"/>
          <w:sz w:val="32"/>
          <w:szCs w:val="32"/>
        </w:rPr>
        <w:t>2,615.67</w:t>
      </w:r>
      <w:r>
        <w:rPr>
          <w:rFonts w:hint="eastAsia" w:ascii="仿宋" w:hAnsi="仿宋" w:eastAsia="仿宋"/>
          <w:sz w:val="32"/>
          <w:szCs w:val="32"/>
        </w:rPr>
        <w:t>万元；支出总计</w:t>
      </w:r>
      <w:r>
        <w:rPr>
          <w:rFonts w:ascii="仿宋" w:hAnsi="仿宋" w:eastAsia="仿宋" w:cs="仿宋_GB2312"/>
          <w:sz w:val="32"/>
          <w:szCs w:val="32"/>
        </w:rPr>
        <w:t>54,494.16</w:t>
      </w:r>
      <w:r>
        <w:rPr>
          <w:rFonts w:hint="eastAsia" w:ascii="仿宋" w:hAnsi="仿宋" w:eastAsia="仿宋"/>
          <w:sz w:val="32"/>
          <w:szCs w:val="32"/>
        </w:rPr>
        <w:t>万元，包括一般公共服务支出4200万元、社会保障和就业支出</w:t>
      </w:r>
      <w:r>
        <w:rPr>
          <w:rFonts w:ascii="仿宋" w:hAnsi="仿宋" w:eastAsia="仿宋"/>
          <w:sz w:val="32"/>
          <w:szCs w:val="32"/>
        </w:rPr>
        <w:t>175.60</w:t>
      </w:r>
      <w:r>
        <w:rPr>
          <w:rFonts w:hint="eastAsia" w:ascii="仿宋" w:hAnsi="仿宋" w:eastAsia="仿宋"/>
          <w:sz w:val="32"/>
          <w:szCs w:val="32"/>
        </w:rPr>
        <w:t>万元、卫生健康支出</w:t>
      </w:r>
      <w:r>
        <w:rPr>
          <w:rFonts w:ascii="仿宋" w:hAnsi="仿宋" w:eastAsia="仿宋"/>
          <w:sz w:val="32"/>
          <w:szCs w:val="32"/>
        </w:rPr>
        <w:t>123.16</w:t>
      </w:r>
      <w:r>
        <w:rPr>
          <w:rFonts w:hint="eastAsia" w:ascii="仿宋" w:hAnsi="仿宋" w:eastAsia="仿宋"/>
          <w:sz w:val="32"/>
          <w:szCs w:val="32"/>
        </w:rPr>
        <w:t>万元、城乡社区支出</w:t>
      </w:r>
      <w:r>
        <w:rPr>
          <w:rFonts w:ascii="仿宋" w:hAnsi="仿宋" w:eastAsia="仿宋"/>
          <w:sz w:val="32"/>
          <w:szCs w:val="32"/>
        </w:rPr>
        <w:t>47,290.56</w:t>
      </w:r>
      <w:r>
        <w:rPr>
          <w:rFonts w:hint="eastAsia" w:ascii="仿宋" w:hAnsi="仿宋" w:eastAsia="仿宋"/>
          <w:sz w:val="32"/>
          <w:szCs w:val="32"/>
        </w:rPr>
        <w:t>万元、住房保障支出</w:t>
      </w:r>
      <w:r>
        <w:rPr>
          <w:rFonts w:ascii="仿宋" w:hAnsi="仿宋" w:eastAsia="仿宋"/>
          <w:sz w:val="32"/>
          <w:szCs w:val="32"/>
        </w:rPr>
        <w:t>89.19</w:t>
      </w:r>
      <w:r>
        <w:rPr>
          <w:rFonts w:hint="eastAsia" w:ascii="仿宋" w:hAnsi="仿宋" w:eastAsia="仿宋"/>
          <w:sz w:val="32"/>
          <w:szCs w:val="32"/>
        </w:rPr>
        <w:t>万元、其他支出</w:t>
      </w:r>
      <w:r>
        <w:rPr>
          <w:rFonts w:ascii="仿宋" w:hAnsi="仿宋" w:eastAsia="仿宋"/>
          <w:sz w:val="32"/>
          <w:szCs w:val="32"/>
        </w:rPr>
        <w:t>2,615.67</w:t>
      </w:r>
      <w:r>
        <w:rPr>
          <w:rFonts w:hint="eastAsia" w:ascii="仿宋" w:hAnsi="仿宋" w:eastAsia="仿宋"/>
          <w:sz w:val="32"/>
          <w:szCs w:val="32"/>
        </w:rPr>
        <w:t>万元。结转下年</w:t>
      </w:r>
      <w:r>
        <w:rPr>
          <w:rFonts w:hint="eastAsia" w:ascii="仿宋" w:hAnsi="仿宋" w:eastAsia="仿宋" w:cs="仿宋_GB2312"/>
          <w:sz w:val="32"/>
          <w:szCs w:val="32"/>
        </w:rPr>
        <w:t>0</w:t>
      </w:r>
      <w:r>
        <w:rPr>
          <w:rFonts w:hint="eastAsia" w:ascii="仿宋" w:hAnsi="仿宋" w:eastAsia="仿宋"/>
          <w:sz w:val="32"/>
          <w:szCs w:val="32"/>
        </w:rPr>
        <w:t>万元。</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二、关于海口市市政管理局（海口市综合行政执法局）2024年一般公共预算当年拨款情况说明</w:t>
      </w:r>
    </w:p>
    <w:p>
      <w:pPr>
        <w:spacing w:line="600" w:lineRule="exact"/>
        <w:ind w:firstLine="640"/>
        <w:rPr>
          <w:rFonts w:ascii="楷体" w:hAnsi="楷体" w:eastAsia="楷体"/>
          <w:sz w:val="32"/>
          <w:szCs w:val="32"/>
        </w:rPr>
      </w:pPr>
      <w:r>
        <w:rPr>
          <w:rFonts w:hint="eastAsia" w:ascii="楷体" w:hAnsi="楷体" w:eastAsia="楷体"/>
          <w:sz w:val="32"/>
          <w:szCs w:val="32"/>
        </w:rPr>
        <w:t>（一）一般公共预算当年规模变化情况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年一般公共预算当年拨款</w:t>
      </w:r>
      <w:r>
        <w:rPr>
          <w:rFonts w:ascii="仿宋" w:hAnsi="仿宋" w:eastAsia="仿宋" w:cs="仿宋_GB2312"/>
          <w:sz w:val="32"/>
          <w:szCs w:val="32"/>
        </w:rPr>
        <w:t>24,104.82</w:t>
      </w:r>
      <w:r>
        <w:rPr>
          <w:rFonts w:hint="eastAsia" w:ascii="仿宋" w:hAnsi="仿宋" w:eastAsia="仿宋"/>
          <w:sz w:val="32"/>
          <w:szCs w:val="32"/>
        </w:rPr>
        <w:t>万元，比上年预算数</w:t>
      </w:r>
      <w:r>
        <w:rPr>
          <w:rFonts w:hint="eastAsia" w:ascii="仿宋" w:hAnsi="仿宋" w:eastAsia="仿宋" w:cs="仿宋_GB2312"/>
          <w:sz w:val="32"/>
          <w:szCs w:val="32"/>
        </w:rPr>
        <w:t>增加9397.57</w:t>
      </w:r>
      <w:r>
        <w:rPr>
          <w:rFonts w:hint="eastAsia" w:ascii="仿宋" w:hAnsi="仿宋" w:eastAsia="仿宋"/>
          <w:sz w:val="32"/>
          <w:szCs w:val="32"/>
        </w:rPr>
        <w:t>万元，主要是城乡社区支出较多，城市基础设施配套数量增加。</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一般公共服务（类）支出4200万元、占 17.42%；社会保障和就业（类）支出</w:t>
      </w:r>
      <w:r>
        <w:rPr>
          <w:rFonts w:ascii="仿宋" w:hAnsi="仿宋" w:eastAsia="仿宋"/>
          <w:sz w:val="32"/>
          <w:szCs w:val="32"/>
        </w:rPr>
        <w:t>175.6</w:t>
      </w:r>
      <w:r>
        <w:rPr>
          <w:rFonts w:hint="eastAsia" w:ascii="仿宋" w:hAnsi="仿宋" w:eastAsia="仿宋"/>
          <w:sz w:val="32"/>
          <w:szCs w:val="32"/>
        </w:rPr>
        <w:t>万元、占0.73 %；卫生健康（类）支出</w:t>
      </w:r>
      <w:r>
        <w:rPr>
          <w:rFonts w:ascii="仿宋" w:hAnsi="仿宋" w:eastAsia="仿宋"/>
          <w:sz w:val="32"/>
          <w:szCs w:val="32"/>
        </w:rPr>
        <w:t>123.16</w:t>
      </w:r>
      <w:r>
        <w:rPr>
          <w:rFonts w:hint="eastAsia" w:ascii="仿宋" w:hAnsi="仿宋" w:eastAsia="仿宋"/>
          <w:sz w:val="32"/>
          <w:szCs w:val="32"/>
        </w:rPr>
        <w:t>万元、占0.51 %；城乡社区（类）支出</w:t>
      </w:r>
      <w:r>
        <w:rPr>
          <w:rFonts w:ascii="仿宋" w:hAnsi="仿宋" w:eastAsia="仿宋"/>
          <w:sz w:val="32"/>
          <w:szCs w:val="32"/>
        </w:rPr>
        <w:t>19,516.88</w:t>
      </w:r>
      <w:r>
        <w:rPr>
          <w:rFonts w:hint="eastAsia" w:ascii="仿宋" w:hAnsi="仿宋" w:eastAsia="仿宋"/>
          <w:sz w:val="32"/>
          <w:szCs w:val="32"/>
        </w:rPr>
        <w:t>万元、占80.97 %；住房保障（类）支出</w:t>
      </w:r>
      <w:r>
        <w:rPr>
          <w:rFonts w:ascii="仿宋" w:hAnsi="仿宋" w:eastAsia="仿宋"/>
          <w:sz w:val="32"/>
          <w:szCs w:val="32"/>
        </w:rPr>
        <w:t>89.19</w:t>
      </w:r>
      <w:r>
        <w:rPr>
          <w:rFonts w:hint="eastAsia" w:ascii="仿宋" w:hAnsi="仿宋" w:eastAsia="仿宋"/>
          <w:sz w:val="32"/>
          <w:szCs w:val="32"/>
        </w:rPr>
        <w:t>万元、占0.37%。</w:t>
      </w:r>
    </w:p>
    <w:p>
      <w:pPr>
        <w:spacing w:line="600" w:lineRule="exact"/>
        <w:ind w:firstLine="640"/>
        <w:rPr>
          <w:rFonts w:ascii="楷体" w:hAnsi="楷体" w:eastAsia="楷体"/>
          <w:sz w:val="32"/>
          <w:szCs w:val="32"/>
        </w:rPr>
      </w:pPr>
      <w:r>
        <w:rPr>
          <w:rFonts w:hint="eastAsia" w:ascii="楷体" w:hAnsi="楷体" w:eastAsia="楷体"/>
          <w:sz w:val="32"/>
          <w:szCs w:val="32"/>
        </w:rPr>
        <w:t>（三）一般公共预算当年拨款具体使用情况</w:t>
      </w:r>
    </w:p>
    <w:p>
      <w:pPr>
        <w:spacing w:line="600" w:lineRule="exact"/>
        <w:ind w:firstLine="640" w:firstLineChars="200"/>
        <w:rPr>
          <w:rFonts w:ascii="仿宋_GB2312" w:hAnsi="黑体" w:eastAsia="仿宋_GB2312"/>
          <w:sz w:val="32"/>
          <w:szCs w:val="32"/>
        </w:rPr>
      </w:pPr>
      <w:r>
        <w:rPr>
          <w:rFonts w:hint="eastAsia" w:ascii="仿宋" w:hAnsi="仿宋" w:eastAsia="仿宋"/>
          <w:sz w:val="32"/>
          <w:szCs w:val="32"/>
        </w:rPr>
        <w:t xml:space="preserve">1. </w:t>
      </w:r>
      <w:r>
        <w:rPr>
          <w:rFonts w:hint="eastAsia" w:ascii="仿宋_GB2312" w:hAnsi="黑体" w:eastAsia="仿宋_GB2312"/>
          <w:sz w:val="32"/>
          <w:szCs w:val="32"/>
        </w:rPr>
        <w:t>一般公共服务（类）其他一般公共服务支出</w:t>
      </w:r>
      <w:r>
        <w:rPr>
          <w:rFonts w:hint="eastAsia" w:ascii="仿宋_GB2312" w:hAnsi="黑体" w:eastAsia="仿宋_GB2312" w:cs="仿宋_GB2312"/>
          <w:color w:val="000000"/>
          <w:sz w:val="32"/>
          <w:szCs w:val="32"/>
        </w:rPr>
        <w:t>（款）</w:t>
      </w:r>
      <w:r>
        <w:rPr>
          <w:rFonts w:hint="eastAsia" w:ascii="仿宋_GB2312" w:hAnsi="黑体" w:eastAsia="仿宋_GB2312"/>
          <w:sz w:val="32"/>
          <w:szCs w:val="32"/>
        </w:rPr>
        <w:t>其他一般公共服务支出</w:t>
      </w:r>
      <w:r>
        <w:rPr>
          <w:rFonts w:hint="eastAsia" w:ascii="仿宋_GB2312" w:hAnsi="黑体" w:eastAsia="仿宋_GB2312" w:cs="仿宋_GB2312"/>
          <w:color w:val="000000"/>
          <w:sz w:val="32"/>
          <w:szCs w:val="32"/>
        </w:rPr>
        <w:t>（项）2024</w:t>
      </w:r>
      <w:r>
        <w:rPr>
          <w:rFonts w:hint="eastAsia" w:ascii="仿宋_GB2312" w:hAnsi="黑体" w:eastAsia="仿宋_GB2312"/>
          <w:color w:val="000000"/>
          <w:sz w:val="32"/>
          <w:szCs w:val="32"/>
        </w:rPr>
        <w:t>年预算数为</w:t>
      </w:r>
      <w:r>
        <w:rPr>
          <w:rFonts w:ascii="仿宋_GB2312" w:hAnsi="黑体" w:eastAsia="仿宋_GB2312"/>
          <w:sz w:val="32"/>
          <w:szCs w:val="32"/>
        </w:rPr>
        <w:t>4,200</w:t>
      </w:r>
      <w:r>
        <w:rPr>
          <w:rFonts w:hint="eastAsia" w:ascii="仿宋_GB2312" w:hAnsi="黑体" w:eastAsia="仿宋_GB2312"/>
          <w:sz w:val="32"/>
          <w:szCs w:val="32"/>
        </w:rPr>
        <w:t xml:space="preserve"> </w:t>
      </w:r>
      <w:r>
        <w:rPr>
          <w:rFonts w:hint="eastAsia" w:ascii="仿宋_GB2312" w:hAnsi="黑体" w:eastAsia="仿宋_GB2312"/>
          <w:color w:val="000000"/>
          <w:sz w:val="32"/>
          <w:szCs w:val="32"/>
        </w:rPr>
        <w:t>万元,</w:t>
      </w:r>
      <w:r>
        <w:rPr>
          <w:rFonts w:hint="eastAsia" w:ascii="仿宋_GB2312" w:hAnsi="黑体" w:eastAsia="仿宋_GB2312"/>
          <w:sz w:val="32"/>
          <w:szCs w:val="32"/>
        </w:rPr>
        <w:t xml:space="preserve"> 比上年预算数</w:t>
      </w:r>
      <w:r>
        <w:rPr>
          <w:rFonts w:hint="eastAsia" w:ascii="仿宋_GB2312" w:hAnsi="黑体" w:eastAsia="仿宋_GB2312" w:cs="仿宋_GB2312"/>
          <w:sz w:val="32"/>
          <w:szCs w:val="32"/>
        </w:rPr>
        <w:t>增加</w:t>
      </w:r>
      <w:r>
        <w:rPr>
          <w:rFonts w:ascii="仿宋_GB2312" w:hAnsi="黑体" w:eastAsia="仿宋_GB2312"/>
          <w:sz w:val="32"/>
          <w:szCs w:val="32"/>
        </w:rPr>
        <w:t>4,200</w:t>
      </w:r>
      <w:r>
        <w:rPr>
          <w:rFonts w:hint="eastAsia" w:ascii="仿宋_GB2312" w:hAnsi="黑体" w:eastAsia="仿宋_GB2312"/>
          <w:sz w:val="32"/>
          <w:szCs w:val="32"/>
        </w:rPr>
        <w:t>万元,主要是去年没做一般公共服务类的预算。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2. </w:t>
      </w:r>
      <w:r>
        <w:rPr>
          <w:rFonts w:hint="eastAsia" w:ascii="仿宋_GB2312" w:hAnsi="黑体" w:eastAsia="仿宋_GB2312"/>
          <w:color w:val="000000"/>
          <w:sz w:val="32"/>
          <w:szCs w:val="32"/>
        </w:rPr>
        <w:t>社会保障和就业</w:t>
      </w:r>
      <w:r>
        <w:rPr>
          <w:rFonts w:hint="eastAsia" w:ascii="仿宋_GB2312" w:hAnsi="黑体" w:eastAsia="仿宋_GB2312" w:cs="仿宋_GB2312"/>
          <w:color w:val="000000"/>
          <w:sz w:val="32"/>
          <w:szCs w:val="32"/>
        </w:rPr>
        <w:t>（类） 行政事业单位养老支出（款）机关事业单位基本养老保险缴费（项）机关事业单位职业年金缴费（项）其他行政事业单位养老（项）</w:t>
      </w:r>
      <w:r>
        <w:rPr>
          <w:rFonts w:hint="eastAsia" w:ascii="仿宋" w:hAnsi="仿宋" w:eastAsia="仿宋"/>
          <w:sz w:val="32"/>
          <w:szCs w:val="32"/>
        </w:rPr>
        <w:t>2024年预算数为</w:t>
      </w:r>
      <w:r>
        <w:rPr>
          <w:rFonts w:ascii="仿宋" w:hAnsi="仿宋" w:eastAsia="仿宋"/>
          <w:sz w:val="32"/>
          <w:szCs w:val="32"/>
        </w:rPr>
        <w:t>175.6</w:t>
      </w:r>
      <w:r>
        <w:rPr>
          <w:rFonts w:hint="eastAsia" w:ascii="仿宋" w:hAnsi="仿宋" w:eastAsia="仿宋"/>
          <w:sz w:val="32"/>
          <w:szCs w:val="32"/>
        </w:rPr>
        <w:t>万元，比上年预算数增加21.61 万元，主要是2024年机关事业单位基本养老保险缴费支出和</w:t>
      </w:r>
      <w:r>
        <w:rPr>
          <w:rFonts w:hint="eastAsia" w:ascii="仿宋_GB2312" w:hAnsi="黑体" w:eastAsia="仿宋_GB2312"/>
          <w:sz w:val="32"/>
          <w:szCs w:val="32"/>
        </w:rPr>
        <w:t>机关事业单位职业年金缴费支出</w:t>
      </w:r>
      <w:r>
        <w:rPr>
          <w:rFonts w:hint="eastAsia" w:ascii="仿宋" w:hAnsi="仿宋" w:eastAsia="仿宋"/>
          <w:sz w:val="32"/>
          <w:szCs w:val="32"/>
        </w:rPr>
        <w:t>的预算比上年预算增加</w:t>
      </w:r>
      <w:r>
        <w:rPr>
          <w:rFonts w:hint="eastAsia" w:ascii="仿宋_GB2312" w:hAnsi="黑体" w:eastAsia="仿宋_GB2312"/>
          <w:sz w:val="32"/>
          <w:szCs w:val="32"/>
        </w:rPr>
        <w:t>。</w:t>
      </w:r>
    </w:p>
    <w:p>
      <w:pPr>
        <w:autoSpaceDE w:val="0"/>
        <w:autoSpaceDN w:val="0"/>
        <w:spacing w:line="600" w:lineRule="exact"/>
        <w:ind w:firstLine="800" w:firstLineChars="250"/>
        <w:rPr>
          <w:rFonts w:ascii="仿宋" w:hAnsi="仿宋" w:eastAsia="仿宋"/>
          <w:sz w:val="32"/>
          <w:szCs w:val="32"/>
        </w:rPr>
      </w:pPr>
      <w:r>
        <w:rPr>
          <w:rFonts w:hint="eastAsia" w:ascii="仿宋" w:hAnsi="仿宋" w:eastAsia="仿宋"/>
          <w:sz w:val="32"/>
          <w:szCs w:val="32"/>
        </w:rPr>
        <w:t>3. 卫生健康（类）行政事业单位医疗（款）行政单位医疗（项）公务员医疗补助（项）其他行政事业单位医疗（项）2024年预算数为</w:t>
      </w:r>
      <w:r>
        <w:rPr>
          <w:rFonts w:ascii="仿宋" w:hAnsi="仿宋" w:eastAsia="仿宋"/>
          <w:sz w:val="32"/>
          <w:szCs w:val="32"/>
        </w:rPr>
        <w:t>123.16</w:t>
      </w:r>
      <w:r>
        <w:rPr>
          <w:rFonts w:hint="eastAsia" w:ascii="仿宋" w:hAnsi="仿宋" w:eastAsia="仿宋"/>
          <w:sz w:val="32"/>
          <w:szCs w:val="32"/>
        </w:rPr>
        <w:t>万元，比上年预算数增加 13.9万元，主要是公务员医疗补助的预算比上年预算增加。</w:t>
      </w:r>
    </w:p>
    <w:p>
      <w:pPr>
        <w:autoSpaceDE w:val="0"/>
        <w:autoSpaceDN w:val="0"/>
        <w:spacing w:line="600" w:lineRule="exact"/>
        <w:ind w:firstLine="800" w:firstLineChars="250"/>
        <w:rPr>
          <w:rFonts w:ascii="仿宋" w:hAnsi="仿宋" w:eastAsia="仿宋"/>
          <w:sz w:val="32"/>
          <w:szCs w:val="32"/>
        </w:rPr>
      </w:pPr>
      <w:r>
        <w:rPr>
          <w:rFonts w:hint="eastAsia" w:ascii="仿宋" w:hAnsi="仿宋" w:eastAsia="仿宋"/>
          <w:sz w:val="32"/>
          <w:szCs w:val="32"/>
        </w:rPr>
        <w:t>4. 城乡社区（类）城乡社区管理事务（款）行政运行（项）一般行政管理事务（项）2024年预算数为</w:t>
      </w:r>
      <w:r>
        <w:rPr>
          <w:rFonts w:ascii="仿宋" w:hAnsi="仿宋" w:eastAsia="仿宋"/>
          <w:sz w:val="32"/>
          <w:szCs w:val="32"/>
        </w:rPr>
        <w:t>2,433.30</w:t>
      </w:r>
      <w:r>
        <w:rPr>
          <w:rFonts w:hint="eastAsia" w:ascii="仿宋" w:hAnsi="仿宋" w:eastAsia="仿宋"/>
          <w:sz w:val="32"/>
          <w:szCs w:val="32"/>
        </w:rPr>
        <w:t>万元，比上年预算数减少887.94万元，主要是城市建设支出减少；城乡社区公共设施（款）其他城乡社区公共设施（项）2024年预算数为</w:t>
      </w:r>
      <w:r>
        <w:rPr>
          <w:rFonts w:ascii="仿宋" w:hAnsi="仿宋" w:eastAsia="仿宋"/>
          <w:sz w:val="32"/>
          <w:szCs w:val="32"/>
        </w:rPr>
        <w:t>2,098.42</w:t>
      </w:r>
      <w:r>
        <w:rPr>
          <w:rFonts w:hint="eastAsia" w:ascii="仿宋" w:hAnsi="仿宋" w:eastAsia="仿宋"/>
          <w:sz w:val="32"/>
          <w:szCs w:val="32"/>
        </w:rPr>
        <w:t>万元。</w:t>
      </w:r>
    </w:p>
    <w:p>
      <w:pPr>
        <w:autoSpaceDE w:val="0"/>
        <w:autoSpaceDN w:val="0"/>
        <w:spacing w:line="600" w:lineRule="exact"/>
        <w:ind w:firstLine="800" w:firstLineChars="250"/>
        <w:rPr>
          <w:rFonts w:ascii="仿宋" w:hAnsi="仿宋" w:eastAsia="仿宋"/>
          <w:sz w:val="32"/>
          <w:szCs w:val="32"/>
        </w:rPr>
      </w:pPr>
      <w:r>
        <w:rPr>
          <w:rFonts w:hint="eastAsia" w:ascii="仿宋" w:hAnsi="仿宋" w:eastAsia="仿宋"/>
          <w:sz w:val="32"/>
          <w:szCs w:val="32"/>
        </w:rPr>
        <w:t>5. 住房保障（类）住房改革（款）住房公积金（项）2024年预算数为</w:t>
      </w:r>
      <w:r>
        <w:rPr>
          <w:rFonts w:ascii="仿宋" w:hAnsi="仿宋" w:eastAsia="仿宋"/>
          <w:sz w:val="32"/>
          <w:szCs w:val="32"/>
        </w:rPr>
        <w:t>89.19</w:t>
      </w:r>
      <w:r>
        <w:rPr>
          <w:rFonts w:hint="eastAsia" w:ascii="仿宋" w:hAnsi="仿宋" w:eastAsia="仿宋"/>
          <w:sz w:val="32"/>
          <w:szCs w:val="32"/>
        </w:rPr>
        <w:t>万元，比上年预算数增加9.62万元，主要是住房公积金的预算比上年预算增加。</w:t>
      </w:r>
    </w:p>
    <w:p>
      <w:pPr>
        <w:spacing w:line="600"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2024年一般公共预算基本支出情况说明</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年一般公共预算基本支出为</w:t>
      </w:r>
      <w:r>
        <w:rPr>
          <w:rFonts w:ascii="仿宋" w:hAnsi="仿宋" w:eastAsia="仿宋" w:cs="仿宋_GB2312"/>
          <w:sz w:val="32"/>
          <w:szCs w:val="32"/>
        </w:rPr>
        <w:t>1,278.36</w:t>
      </w:r>
      <w:r>
        <w:rPr>
          <w:rFonts w:hint="eastAsia" w:ascii="仿宋" w:hAnsi="仿宋" w:eastAsia="仿宋"/>
          <w:sz w:val="32"/>
          <w:szCs w:val="32"/>
        </w:rPr>
        <w:t>万元，其中：人员经费</w:t>
      </w:r>
      <w:r>
        <w:rPr>
          <w:rFonts w:ascii="仿宋" w:hAnsi="仿宋" w:eastAsia="仿宋" w:cs="仿宋_GB2312"/>
          <w:sz w:val="32"/>
          <w:szCs w:val="32"/>
        </w:rPr>
        <w:t>1,168.84</w:t>
      </w:r>
      <w:r>
        <w:rPr>
          <w:rFonts w:hint="eastAsia" w:ascii="仿宋" w:hAnsi="仿宋" w:eastAsia="仿宋"/>
          <w:sz w:val="32"/>
          <w:szCs w:val="32"/>
        </w:rPr>
        <w:t>万元，主要包括：1、工资福利支出</w:t>
      </w:r>
      <w:r>
        <w:rPr>
          <w:rFonts w:ascii="仿宋" w:hAnsi="仿宋" w:eastAsia="仿宋"/>
          <w:sz w:val="32"/>
          <w:szCs w:val="32"/>
        </w:rPr>
        <w:t>1,098.13</w:t>
      </w:r>
      <w:r>
        <w:rPr>
          <w:rFonts w:hint="eastAsia" w:ascii="仿宋" w:hAnsi="仿宋" w:eastAsia="仿宋"/>
          <w:sz w:val="32"/>
          <w:szCs w:val="32"/>
        </w:rPr>
        <w:t>万元中的基本工资、津贴补贴、奖金、绩效工资、机关事业单位基本养老保险缴费、城镇职工基本医疗保险缴费、公务员医疗补助缴费、其他社会保障缴费、住房公积金、医疗费和其他工资福利支出</w:t>
      </w:r>
      <w:r>
        <w:rPr>
          <w:rFonts w:hint="eastAsia" w:ascii="仿宋" w:hAnsi="仿宋" w:eastAsia="仿宋"/>
          <w:color w:val="000000" w:themeColor="text1"/>
          <w:sz w:val="32"/>
          <w:szCs w:val="32"/>
        </w:rPr>
        <w:t>;2、对个人和家庭的补助</w:t>
      </w:r>
      <w:r>
        <w:rPr>
          <w:rFonts w:ascii="仿宋" w:hAnsi="仿宋" w:eastAsia="仿宋" w:cs="仿宋_GB2312"/>
          <w:color w:val="000000" w:themeColor="text1"/>
          <w:sz w:val="32"/>
          <w:szCs w:val="32"/>
        </w:rPr>
        <w:t>19.46</w:t>
      </w:r>
      <w:r>
        <w:rPr>
          <w:rFonts w:hint="eastAsia" w:ascii="仿宋" w:hAnsi="仿宋" w:eastAsia="仿宋"/>
          <w:color w:val="000000" w:themeColor="text1"/>
          <w:sz w:val="32"/>
          <w:szCs w:val="32"/>
        </w:rPr>
        <w:t>万元中的生活补助、医疗费补助（退休补充医疗）、奖励金、其他对个人和家庭的补助。</w:t>
      </w:r>
    </w:p>
    <w:p>
      <w:pPr>
        <w:spacing w:line="600" w:lineRule="exact"/>
        <w:ind w:firstLine="640" w:firstLineChars="200"/>
        <w:rPr>
          <w:rFonts w:ascii="仿宋_GB2312" w:hAnsi="黑体" w:eastAsia="仿宋_GB2312"/>
          <w:sz w:val="32"/>
          <w:szCs w:val="32"/>
        </w:rPr>
      </w:pPr>
      <w:r>
        <w:rPr>
          <w:rFonts w:hint="eastAsia" w:ascii="仿宋" w:hAnsi="仿宋" w:eastAsia="仿宋"/>
          <w:sz w:val="32"/>
          <w:szCs w:val="32"/>
        </w:rPr>
        <w:t>公用经费</w:t>
      </w:r>
      <w:r>
        <w:rPr>
          <w:rFonts w:ascii="仿宋" w:hAnsi="仿宋" w:eastAsia="仿宋" w:cs="仿宋_GB2312"/>
          <w:sz w:val="32"/>
          <w:szCs w:val="32"/>
        </w:rPr>
        <w:t>109.52</w:t>
      </w:r>
      <w:r>
        <w:rPr>
          <w:rFonts w:hint="eastAsia" w:ascii="仿宋" w:hAnsi="仿宋" w:eastAsia="仿宋"/>
          <w:sz w:val="32"/>
          <w:szCs w:val="32"/>
        </w:rPr>
        <w:t>万元，主要包括：商品和服务支出</w:t>
      </w:r>
      <w:r>
        <w:rPr>
          <w:rFonts w:ascii="仿宋" w:hAnsi="仿宋" w:eastAsia="仿宋"/>
          <w:sz w:val="32"/>
          <w:szCs w:val="32"/>
        </w:rPr>
        <w:t>89.33</w:t>
      </w:r>
      <w:r>
        <w:rPr>
          <w:rFonts w:hint="eastAsia" w:ascii="仿宋" w:hAnsi="仿宋" w:eastAsia="仿宋"/>
          <w:sz w:val="32"/>
          <w:szCs w:val="32"/>
        </w:rPr>
        <w:t>万元中的办公费、印刷费、咨询费、手续费、水费、电费、邮电费、物业管理费、差旅费、维修（护）费、租赁费、培训费、专用材料费、被装购置费、委托业务费、工会经费、公务用车运行维护费、其他交通费用、其他商品和服务支出。</w:t>
      </w:r>
      <w:r>
        <w:rPr>
          <w:rFonts w:hint="eastAsia" w:ascii="仿宋_GB2312" w:hAnsi="黑体" w:eastAsia="仿宋_GB2312"/>
          <w:sz w:val="32"/>
          <w:szCs w:val="32"/>
        </w:rPr>
        <w:t>2、资本性支出8.6万元中的办公设备购置。</w:t>
      </w:r>
    </w:p>
    <w:p>
      <w:pPr>
        <w:spacing w:line="600" w:lineRule="exact"/>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600" w:lineRule="exact"/>
        <w:ind w:firstLine="640" w:firstLineChars="200"/>
        <w:rPr>
          <w:rFonts w:ascii="仿宋" w:hAnsi="仿宋" w:eastAsia="仿宋" w:cs="Times New Roman"/>
          <w:sz w:val="32"/>
          <w:szCs w:val="32"/>
        </w:rPr>
      </w:pPr>
      <w:r>
        <w:rPr>
          <w:rFonts w:hint="eastAsia" w:ascii="仿宋" w:hAnsi="仿宋" w:eastAsia="仿宋"/>
          <w:sz w:val="32"/>
          <w:szCs w:val="32"/>
        </w:rPr>
        <w:t>（一）</w:t>
      </w: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年一般公共预算“三公”经费预算数为</w:t>
      </w:r>
      <w:r>
        <w:rPr>
          <w:rFonts w:ascii="仿宋" w:hAnsi="仿宋" w:eastAsia="仿宋" w:cs="仿宋_GB2312"/>
          <w:sz w:val="32"/>
          <w:szCs w:val="32"/>
        </w:rPr>
        <w:t>40.40</w:t>
      </w:r>
      <w:r>
        <w:rPr>
          <w:rFonts w:hint="eastAsia" w:ascii="仿宋" w:hAnsi="仿宋" w:eastAsia="仿宋"/>
          <w:sz w:val="32"/>
          <w:szCs w:val="32"/>
        </w:rPr>
        <w:t>万元，其中：</w:t>
      </w:r>
    </w:p>
    <w:p>
      <w:pPr>
        <w:spacing w:line="600" w:lineRule="exact"/>
        <w:ind w:firstLine="640" w:firstLineChars="200"/>
        <w:rPr>
          <w:rFonts w:ascii="Times New Roman" w:hAnsi="Times New Roman" w:eastAsia="仿宋_GB2312"/>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。本部门当年无出访任务，无此项预算。</w:t>
      </w:r>
    </w:p>
    <w:p>
      <w:pPr>
        <w:spacing w:line="600" w:lineRule="exact"/>
        <w:ind w:firstLine="630"/>
        <w:rPr>
          <w:rFonts w:ascii="仿宋" w:hAnsi="仿宋" w:eastAsia="仿宋" w:cs="Times New Roman"/>
          <w:sz w:val="32"/>
          <w:shd w:val="clear" w:color="auto" w:fill="FFFFFF"/>
        </w:rPr>
      </w:pPr>
      <w:r>
        <w:rPr>
          <w:rFonts w:ascii="仿宋" w:hAnsi="仿宋" w:eastAsia="仿宋" w:cs="Times New Roman"/>
          <w:sz w:val="32"/>
          <w:shd w:val="clear" w:color="auto" w:fill="FFFFFF"/>
        </w:rPr>
        <w:t>公务用车购置及运行费</w:t>
      </w:r>
      <w:r>
        <w:rPr>
          <w:rFonts w:ascii="仿宋" w:hAnsi="仿宋" w:eastAsia="仿宋" w:cs="仿宋_GB2312"/>
          <w:sz w:val="32"/>
          <w:szCs w:val="32"/>
        </w:rPr>
        <w:t>37.40</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ascii="仿宋" w:hAnsi="仿宋" w:eastAsia="仿宋" w:cs="仿宋_GB2312"/>
          <w:sz w:val="32"/>
          <w:szCs w:val="32"/>
        </w:rPr>
        <w:t>37.40</w:t>
      </w:r>
      <w:r>
        <w:rPr>
          <w:rFonts w:hint="eastAsia" w:ascii="仿宋" w:hAnsi="仿宋" w:eastAsia="仿宋"/>
          <w:sz w:val="32"/>
          <w:szCs w:val="32"/>
        </w:rPr>
        <w:t>万元）</w:t>
      </w:r>
      <w:r>
        <w:rPr>
          <w:rFonts w:ascii="仿宋" w:hAnsi="仿宋" w:eastAsia="仿宋" w:cs="Times New Roman"/>
          <w:sz w:val="32"/>
          <w:shd w:val="clear" w:color="auto" w:fill="FFFFFF"/>
        </w:rPr>
        <w:t>，</w:t>
      </w:r>
      <w:r>
        <w:rPr>
          <w:rFonts w:ascii="Times New Roman" w:hAnsi="Times New Roman" w:eastAsia="仿宋_GB2312"/>
          <w:sz w:val="32"/>
          <w:shd w:val="clear" w:color="auto" w:fill="FFFFFF"/>
        </w:rPr>
        <w:t>较</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w:t>
      </w:r>
      <w:r>
        <w:rPr>
          <w:rFonts w:hint="eastAsia" w:ascii="Times New Roman" w:hAnsi="Times New Roman" w:eastAsia="仿宋_GB2312"/>
          <w:sz w:val="32"/>
          <w:shd w:val="clear" w:color="auto" w:fill="FFFFFF"/>
        </w:rPr>
        <w:t>下降1.37</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w:t>
      </w:r>
      <w:r>
        <w:rPr>
          <w:rFonts w:hint="eastAsia" w:ascii="Times New Roman" w:hAnsi="Times New Roman" w:eastAsia="仿宋_GB2312"/>
          <w:sz w:val="32"/>
        </w:rPr>
        <w:t>下降</w:t>
      </w:r>
      <w:r>
        <w:rPr>
          <w:rFonts w:ascii="Times New Roman" w:hAnsi="Times New Roman" w:eastAsia="仿宋_GB2312"/>
          <w:sz w:val="32"/>
        </w:rPr>
        <w:t>的</w:t>
      </w:r>
      <w:r>
        <w:rPr>
          <w:rFonts w:ascii="Times New Roman" w:hAnsi="Times New Roman" w:eastAsia="仿宋_GB2312"/>
          <w:sz w:val="32"/>
          <w:shd w:val="clear" w:color="auto" w:fill="FFFFFF"/>
        </w:rPr>
        <w:t>主要原因</w:t>
      </w:r>
      <w:r>
        <w:rPr>
          <w:rFonts w:hint="eastAsia" w:ascii="Times New Roman" w:hAnsi="Times New Roman" w:eastAsia="仿宋_GB2312"/>
          <w:sz w:val="32"/>
          <w:shd w:val="clear" w:color="auto" w:fill="FFFFFF"/>
        </w:rPr>
        <w:t>是局机关压减一般行政性开支，降低车辆运行成本</w:t>
      </w:r>
      <w:r>
        <w:rPr>
          <w:rFonts w:hint="eastAsia" w:ascii="仿宋" w:hAnsi="仿宋" w:eastAsia="仿宋" w:cs="Times New Roman"/>
          <w:sz w:val="32"/>
          <w:shd w:val="clear" w:color="auto" w:fill="FFFFFF"/>
        </w:rPr>
        <w:t>。公务车保有量</w:t>
      </w:r>
      <w:r>
        <w:rPr>
          <w:rFonts w:hint="eastAsia" w:ascii="仿宋" w:hAnsi="仿宋" w:eastAsia="仿宋" w:cs="仿宋_GB2312"/>
          <w:sz w:val="32"/>
          <w:szCs w:val="32"/>
        </w:rPr>
        <w:t>14辆，计划购置0辆</w:t>
      </w:r>
      <w:r>
        <w:rPr>
          <w:rFonts w:hint="eastAsia" w:ascii="仿宋" w:hAnsi="仿宋" w:eastAsia="仿宋" w:cs="Times New Roman"/>
          <w:sz w:val="32"/>
          <w:shd w:val="clear" w:color="auto" w:fill="FFFFFF"/>
        </w:rPr>
        <w:t>；</w:t>
      </w:r>
      <w:r>
        <w:rPr>
          <w:rFonts w:ascii="仿宋" w:hAnsi="仿宋" w:eastAsia="仿宋" w:cs="Times New Roman"/>
          <w:sz w:val="32"/>
          <w:szCs w:val="32"/>
        </w:rPr>
        <w:t>公务接待费</w:t>
      </w:r>
      <w:r>
        <w:rPr>
          <w:rFonts w:hint="eastAsia" w:ascii="仿宋" w:hAnsi="仿宋" w:eastAsia="仿宋" w:cs="仿宋_GB2312"/>
          <w:sz w:val="32"/>
          <w:szCs w:val="32"/>
        </w:rPr>
        <w:t>3</w:t>
      </w:r>
      <w:r>
        <w:rPr>
          <w:rFonts w:ascii="仿宋" w:hAnsi="仿宋" w:eastAsia="仿宋" w:cs="Times New Roman"/>
          <w:sz w:val="32"/>
          <w:shd w:val="clear" w:color="auto" w:fill="FFFFFF"/>
        </w:rPr>
        <w:t>万元，</w:t>
      </w:r>
      <w:r>
        <w:rPr>
          <w:rFonts w:hint="eastAsia" w:ascii="仿宋" w:hAnsi="仿宋" w:eastAsia="仿宋" w:cs="Times New Roman"/>
          <w:sz w:val="32"/>
          <w:shd w:val="clear" w:color="auto" w:fill="FFFFFF"/>
        </w:rPr>
        <w:t>与上</w:t>
      </w:r>
      <w:r>
        <w:rPr>
          <w:rFonts w:ascii="仿宋" w:hAnsi="仿宋" w:eastAsia="仿宋" w:cs="Times New Roman"/>
          <w:sz w:val="32"/>
          <w:shd w:val="clear" w:color="auto" w:fill="FFFFFF"/>
        </w:rPr>
        <w:t>年预算</w:t>
      </w:r>
      <w:r>
        <w:rPr>
          <w:rFonts w:hint="eastAsia" w:ascii="仿宋" w:hAnsi="仿宋" w:eastAsia="仿宋" w:cs="Times New Roman"/>
          <w:sz w:val="32"/>
          <w:shd w:val="clear" w:color="auto" w:fill="FFFFFF"/>
        </w:rPr>
        <w:t>数持平。</w:t>
      </w:r>
      <w:r>
        <w:rPr>
          <w:rFonts w:hint="eastAsia" w:ascii="Times New Roman" w:hAnsi="Times New Roman" w:eastAsia="仿宋_GB2312" w:cs="Times New Roman"/>
          <w:sz w:val="32"/>
          <w:shd w:val="clear" w:color="auto" w:fill="FFFFFF"/>
        </w:rPr>
        <w:t>计划接待20</w:t>
      </w:r>
      <w:r>
        <w:rPr>
          <w:rFonts w:hint="eastAsia" w:ascii="仿宋_GB2312" w:hAnsi="黑体" w:eastAsia="仿宋_GB2312" w:cs="仿宋_GB2312"/>
          <w:sz w:val="32"/>
          <w:szCs w:val="32"/>
        </w:rPr>
        <w:t>批150人</w:t>
      </w:r>
      <w:r>
        <w:rPr>
          <w:rFonts w:hint="eastAsia" w:ascii="Times New Roman" w:hAnsi="Times New Roman" w:eastAsia="仿宋_GB2312" w:cs="Times New Roman"/>
          <w:sz w:val="32"/>
          <w:shd w:val="clear" w:color="auto" w:fill="FFFFFF"/>
        </w:rPr>
        <w:t>。</w:t>
      </w:r>
    </w:p>
    <w:p>
      <w:pPr>
        <w:spacing w:line="600" w:lineRule="exact"/>
        <w:ind w:firstLine="630"/>
        <w:rPr>
          <w:rFonts w:ascii="仿宋" w:hAnsi="仿宋" w:eastAsia="仿宋" w:cs="Times New Roman"/>
          <w:sz w:val="32"/>
          <w:szCs w:val="32"/>
        </w:rPr>
      </w:pPr>
      <w:r>
        <w:rPr>
          <w:rFonts w:hint="eastAsia" w:ascii="仿宋" w:hAnsi="仿宋" w:eastAsia="仿宋"/>
          <w:sz w:val="32"/>
          <w:szCs w:val="32"/>
        </w:rPr>
        <w:t>（二）</w:t>
      </w:r>
      <w:r>
        <w:rPr>
          <w:rFonts w:hint="eastAsia" w:ascii="仿宋" w:hAnsi="仿宋" w:eastAsia="仿宋" w:cs="仿宋_GB2312"/>
          <w:sz w:val="32"/>
          <w:szCs w:val="32"/>
        </w:rPr>
        <w:t>海口市市政管理局（海口市综合行政执法局）</w:t>
      </w:r>
      <w:r>
        <w:rPr>
          <w:rFonts w:hint="eastAsia" w:ascii="仿宋" w:hAnsi="仿宋" w:eastAsia="仿宋"/>
          <w:sz w:val="32"/>
          <w:szCs w:val="32"/>
        </w:rPr>
        <w:t>单位</w:t>
      </w:r>
      <w:r>
        <w:rPr>
          <w:rFonts w:hint="eastAsia" w:ascii="仿宋" w:hAnsi="仿宋" w:eastAsia="仿宋" w:cs="仿宋_GB2312"/>
          <w:sz w:val="32"/>
          <w:szCs w:val="32"/>
        </w:rPr>
        <w:t>2024</w:t>
      </w:r>
      <w:r>
        <w:rPr>
          <w:rFonts w:hint="eastAsia" w:ascii="仿宋" w:hAnsi="仿宋" w:eastAsia="仿宋"/>
          <w:sz w:val="32"/>
          <w:szCs w:val="32"/>
        </w:rPr>
        <w:t>年政府性基金预算“三公”经费预算数为</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rPr>
        <w:t xml:space="preserve"> </w:t>
      </w:r>
      <w:r>
        <w:rPr>
          <w:rFonts w:hint="eastAsia" w:ascii="仿宋" w:hAnsi="仿宋" w:eastAsia="仿宋"/>
          <w:sz w:val="32"/>
          <w:szCs w:val="32"/>
        </w:rPr>
        <w:t>本单位当年无此项预算。</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600" w:lineRule="exact"/>
        <w:ind w:firstLine="640"/>
        <w:rPr>
          <w:rFonts w:ascii="楷体" w:hAnsi="楷体" w:eastAsia="楷体"/>
          <w:sz w:val="32"/>
          <w:szCs w:val="32"/>
        </w:rPr>
      </w:pPr>
      <w:r>
        <w:rPr>
          <w:rFonts w:hint="eastAsia" w:ascii="楷体" w:hAnsi="楷体" w:eastAsia="楷体"/>
          <w:sz w:val="32"/>
          <w:szCs w:val="32"/>
        </w:rPr>
        <w:t>（一）政府性基金预算当年规模变化情况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年政府性基金预算当年拨款</w:t>
      </w:r>
      <w:r>
        <w:rPr>
          <w:rFonts w:ascii="仿宋" w:hAnsi="仿宋" w:eastAsia="仿宋" w:cs="仿宋_GB2312"/>
          <w:sz w:val="32"/>
          <w:szCs w:val="32"/>
        </w:rPr>
        <w:t>30,389.34</w:t>
      </w:r>
      <w:r>
        <w:rPr>
          <w:rFonts w:hint="eastAsia" w:ascii="仿宋" w:hAnsi="仿宋" w:eastAsia="仿宋"/>
          <w:sz w:val="32"/>
          <w:szCs w:val="32"/>
        </w:rPr>
        <w:t>万元，比上年预算数</w:t>
      </w:r>
      <w:r>
        <w:rPr>
          <w:rFonts w:hint="eastAsia" w:ascii="仿宋" w:hAnsi="仿宋" w:eastAsia="仿宋" w:cs="仿宋_GB2312"/>
          <w:sz w:val="32"/>
          <w:szCs w:val="32"/>
        </w:rPr>
        <w:t>减少 32595.58</w:t>
      </w:r>
      <w:r>
        <w:rPr>
          <w:rFonts w:hint="eastAsia" w:ascii="仿宋" w:hAnsi="仿宋" w:eastAsia="仿宋"/>
          <w:sz w:val="32"/>
          <w:szCs w:val="32"/>
        </w:rPr>
        <w:t>万元，主要是2024年PPP付费项目</w:t>
      </w:r>
      <w:r>
        <w:rPr>
          <w:rFonts w:hint="eastAsia" w:ascii="仿宋" w:hAnsi="仿宋" w:eastAsia="仿宋" w:cs="仿宋_GB2312"/>
          <w:sz w:val="32"/>
          <w:szCs w:val="32"/>
        </w:rPr>
        <w:t>减少</w:t>
      </w:r>
      <w:r>
        <w:rPr>
          <w:rFonts w:hint="eastAsia" w:ascii="仿宋" w:hAnsi="仿宋" w:eastAsia="仿宋"/>
          <w:sz w:val="32"/>
          <w:szCs w:val="32"/>
        </w:rPr>
        <w:t>。</w:t>
      </w:r>
    </w:p>
    <w:p>
      <w:pPr>
        <w:spacing w:line="600" w:lineRule="exact"/>
        <w:ind w:firstLine="640"/>
        <w:rPr>
          <w:rFonts w:ascii="楷体" w:hAnsi="楷体" w:eastAsia="楷体"/>
          <w:sz w:val="32"/>
          <w:szCs w:val="32"/>
        </w:rPr>
      </w:pPr>
      <w:r>
        <w:rPr>
          <w:rFonts w:hint="eastAsia" w:ascii="楷体" w:hAnsi="楷体" w:eastAsia="楷体"/>
          <w:sz w:val="32"/>
          <w:szCs w:val="32"/>
        </w:rPr>
        <w:t>（二）政府性基金预算当年拨款结构情况</w:t>
      </w:r>
    </w:p>
    <w:p>
      <w:pPr>
        <w:spacing w:line="600" w:lineRule="exact"/>
        <w:ind w:firstLine="640" w:firstLineChars="200"/>
        <w:rPr>
          <w:rFonts w:ascii="仿宋_GB2312" w:hAnsi="黑体" w:eastAsia="仿宋_GB2312"/>
          <w:sz w:val="32"/>
          <w:szCs w:val="32"/>
        </w:rPr>
      </w:pPr>
      <w:r>
        <w:rPr>
          <w:rFonts w:hint="eastAsia" w:ascii="仿宋" w:hAnsi="仿宋" w:eastAsia="仿宋" w:cs="仿宋_GB2312"/>
          <w:sz w:val="32"/>
          <w:szCs w:val="32"/>
        </w:rPr>
        <w:t>城乡社区（类）支出</w:t>
      </w:r>
      <w:r>
        <w:rPr>
          <w:rFonts w:ascii="仿宋" w:hAnsi="仿宋" w:eastAsia="仿宋" w:cs="仿宋_GB2312"/>
          <w:sz w:val="32"/>
          <w:szCs w:val="32"/>
        </w:rPr>
        <w:t>27,773.68</w:t>
      </w:r>
      <w:r>
        <w:rPr>
          <w:rFonts w:hint="eastAsia" w:ascii="仿宋" w:hAnsi="仿宋" w:eastAsia="仿宋"/>
          <w:sz w:val="32"/>
          <w:szCs w:val="32"/>
        </w:rPr>
        <w:t>万元，占91.39%。</w:t>
      </w:r>
      <w:r>
        <w:rPr>
          <w:rFonts w:hint="eastAsia" w:ascii="仿宋_GB2312" w:hAnsi="黑体" w:eastAsia="仿宋_GB2312"/>
          <w:sz w:val="32"/>
          <w:szCs w:val="32"/>
        </w:rPr>
        <w:t>其他(类)支出</w:t>
      </w:r>
      <w:r>
        <w:rPr>
          <w:rFonts w:ascii="仿宋_GB2312" w:hAnsi="黑体" w:eastAsia="仿宋_GB2312"/>
          <w:sz w:val="32"/>
          <w:szCs w:val="32"/>
        </w:rPr>
        <w:t>2,615.6</w:t>
      </w:r>
      <w:r>
        <w:rPr>
          <w:rFonts w:hint="eastAsia" w:ascii="仿宋_GB2312" w:hAnsi="黑体" w:eastAsia="仿宋_GB2312"/>
          <w:sz w:val="32"/>
          <w:szCs w:val="32"/>
        </w:rPr>
        <w:t>7万元，占8.61%。</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（三）政府性基金预算当年拨款具体使用情况</w:t>
      </w:r>
    </w:p>
    <w:p>
      <w:pPr>
        <w:spacing w:line="600" w:lineRule="exact"/>
        <w:ind w:firstLine="640" w:firstLineChars="200"/>
        <w:rPr>
          <w:rFonts w:hint="eastAsia" w:ascii="仿宋" w:hAnsi="仿宋" w:eastAsia="仿宋"/>
          <w:sz w:val="32"/>
          <w:szCs w:val="32"/>
        </w:rPr>
      </w:pPr>
      <w:r>
        <w:rPr>
          <w:rFonts w:hint="eastAsia" w:ascii="仿宋" w:hAnsi="仿宋" w:eastAsia="仿宋" w:cs="仿宋_GB2312"/>
          <w:sz w:val="32"/>
          <w:szCs w:val="32"/>
        </w:rPr>
        <w:t>城乡社区（类）城市基础设施配套费安排的支出（款）城市公共设施（项）2024</w:t>
      </w:r>
      <w:r>
        <w:rPr>
          <w:rFonts w:hint="eastAsia" w:ascii="仿宋" w:hAnsi="仿宋" w:eastAsia="仿宋"/>
          <w:sz w:val="32"/>
          <w:szCs w:val="32"/>
        </w:rPr>
        <w:t>年预算数为</w:t>
      </w:r>
      <w:r>
        <w:rPr>
          <w:rFonts w:ascii="仿宋" w:hAnsi="仿宋" w:eastAsia="仿宋" w:cs="仿宋_GB2312"/>
          <w:sz w:val="32"/>
          <w:szCs w:val="32"/>
        </w:rPr>
        <w:t>21,773.68</w:t>
      </w:r>
      <w:r>
        <w:rPr>
          <w:rFonts w:hint="eastAsia" w:ascii="仿宋" w:hAnsi="仿宋" w:eastAsia="仿宋"/>
          <w:color w:val="000000" w:themeColor="text1"/>
          <w:sz w:val="32"/>
          <w:szCs w:val="32"/>
        </w:rPr>
        <w:t>万元。</w:t>
      </w:r>
      <w:r>
        <w:rPr>
          <w:rFonts w:hint="eastAsia" w:ascii="仿宋" w:hAnsi="仿宋" w:eastAsia="仿宋"/>
          <w:sz w:val="32"/>
          <w:szCs w:val="32"/>
        </w:rPr>
        <w:t>比上年预算数减少11408.18万元，主要是城市基础设施配套数量减少。</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其他</w:t>
      </w:r>
      <w:r>
        <w:rPr>
          <w:rFonts w:hint="eastAsia" w:ascii="仿宋_GB2312" w:hAnsi="黑体" w:eastAsia="仿宋_GB2312" w:cs="仿宋_GB2312"/>
          <w:sz w:val="32"/>
          <w:szCs w:val="32"/>
        </w:rPr>
        <w:t>（类）</w:t>
      </w:r>
      <w:r>
        <w:rPr>
          <w:rFonts w:hint="eastAsia" w:ascii="仿宋_GB2312" w:hAnsi="黑体" w:eastAsia="仿宋_GB2312"/>
          <w:sz w:val="32"/>
          <w:szCs w:val="32"/>
        </w:rPr>
        <w:t>其他政府性基金及对应专项债务收入安排的支出</w:t>
      </w:r>
      <w:r>
        <w:rPr>
          <w:rFonts w:hint="eastAsia" w:ascii="仿宋_GB2312" w:hAnsi="黑体" w:eastAsia="仿宋_GB2312" w:cs="仿宋_GB2312"/>
          <w:sz w:val="32"/>
          <w:szCs w:val="32"/>
        </w:rPr>
        <w:t>（款）其他地方自行试点项目收益专项债券收入安排的支出（项）2024年预算数为</w:t>
      </w:r>
      <w:r>
        <w:rPr>
          <w:rFonts w:ascii="仿宋_GB2312" w:hAnsi="黑体" w:eastAsia="仿宋_GB2312" w:cs="仿宋_GB2312"/>
          <w:sz w:val="32"/>
          <w:szCs w:val="32"/>
        </w:rPr>
        <w:t>2615.67</w:t>
      </w:r>
      <w:r>
        <w:rPr>
          <w:rFonts w:hint="eastAsia" w:ascii="仿宋_GB2312" w:hAnsi="黑体" w:eastAsia="仿宋_GB2312" w:cs="仿宋_GB2312"/>
          <w:sz w:val="32"/>
          <w:szCs w:val="32"/>
        </w:rPr>
        <w:t>万元。比上年预算数增加</w:t>
      </w:r>
      <w:r>
        <w:rPr>
          <w:rFonts w:ascii="仿宋_GB2312" w:hAnsi="黑体" w:eastAsia="仿宋_GB2312" w:cs="仿宋_GB2312"/>
          <w:sz w:val="32"/>
          <w:szCs w:val="32"/>
        </w:rPr>
        <w:t>2615.67</w:t>
      </w:r>
      <w:r>
        <w:rPr>
          <w:rFonts w:hint="eastAsia" w:ascii="仿宋_GB2312" w:hAnsi="黑体" w:eastAsia="仿宋_GB2312" w:cs="仿宋_GB2312"/>
          <w:sz w:val="32"/>
          <w:szCs w:val="32"/>
        </w:rPr>
        <w:t>万元，主要是去年没做</w:t>
      </w:r>
      <w:r>
        <w:rPr>
          <w:rFonts w:hint="eastAsia" w:ascii="仿宋_GB2312" w:hAnsi="黑体" w:eastAsia="仿宋_GB2312"/>
          <w:sz w:val="32"/>
          <w:szCs w:val="32"/>
        </w:rPr>
        <w:t>其他</w:t>
      </w:r>
      <w:r>
        <w:rPr>
          <w:rFonts w:hint="eastAsia" w:ascii="仿宋_GB2312" w:hAnsi="黑体" w:eastAsia="仿宋_GB2312" w:cs="仿宋_GB2312"/>
          <w:sz w:val="32"/>
          <w:szCs w:val="32"/>
        </w:rPr>
        <w:t>（类）的预算。</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按照综合预算原则，海口市市政管理局（海口市综合行政执法局）单位所有收入和支出均纳入单位预算管理。收入包括：一般公共预算收入、政府性基金收入</w:t>
      </w:r>
      <w:r>
        <w:rPr>
          <w:rFonts w:hint="eastAsia" w:ascii="仿宋" w:hAnsi="仿宋" w:eastAsia="仿宋"/>
          <w:sz w:val="32"/>
          <w:szCs w:val="32"/>
        </w:rPr>
        <w:t>；支出包括：社会保障和就业支出、卫生健康支出、城乡社区支出、住房保障支出。</w:t>
      </w: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年收支总预算</w:t>
      </w:r>
      <w:r>
        <w:rPr>
          <w:rFonts w:ascii="仿宋" w:hAnsi="仿宋" w:eastAsia="仿宋" w:cs="仿宋_GB2312"/>
          <w:sz w:val="32"/>
          <w:szCs w:val="32"/>
        </w:rPr>
        <w:t>54,494.16</w:t>
      </w:r>
      <w:r>
        <w:rPr>
          <w:rFonts w:hint="eastAsia" w:ascii="仿宋" w:hAnsi="仿宋" w:eastAsia="仿宋"/>
          <w:sz w:val="32"/>
          <w:szCs w:val="32"/>
        </w:rPr>
        <w:t>万元。</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年收入预算</w:t>
      </w:r>
      <w:r>
        <w:rPr>
          <w:rFonts w:ascii="仿宋" w:hAnsi="仿宋" w:eastAsia="仿宋" w:cs="仿宋_GB2312"/>
          <w:sz w:val="32"/>
          <w:szCs w:val="32"/>
        </w:rPr>
        <w:t>54,494.16</w:t>
      </w:r>
      <w:r>
        <w:rPr>
          <w:rFonts w:hint="eastAsia" w:ascii="仿宋" w:hAnsi="仿宋" w:eastAsia="仿宋"/>
          <w:sz w:val="32"/>
          <w:szCs w:val="32"/>
        </w:rPr>
        <w:t>万元，其中：上年结转</w:t>
      </w:r>
      <w:r>
        <w:rPr>
          <w:rFonts w:ascii="仿宋" w:hAnsi="仿宋" w:eastAsia="仿宋" w:cs="仿宋_GB2312"/>
          <w:sz w:val="32"/>
          <w:szCs w:val="32"/>
        </w:rPr>
        <w:t>7,602.64</w:t>
      </w:r>
      <w:r>
        <w:rPr>
          <w:rFonts w:hint="eastAsia" w:ascii="仿宋" w:hAnsi="仿宋" w:eastAsia="仿宋"/>
          <w:sz w:val="32"/>
          <w:szCs w:val="32"/>
        </w:rPr>
        <w:t>万元；一般公共预算收入</w:t>
      </w:r>
      <w:r>
        <w:rPr>
          <w:rFonts w:ascii="仿宋" w:hAnsi="仿宋" w:eastAsia="仿宋" w:cs="仿宋_GB2312"/>
          <w:sz w:val="32"/>
          <w:szCs w:val="32"/>
        </w:rPr>
        <w:t>19,117.84</w:t>
      </w:r>
      <w:r>
        <w:rPr>
          <w:rFonts w:hint="eastAsia" w:ascii="仿宋" w:hAnsi="仿宋" w:eastAsia="仿宋"/>
          <w:sz w:val="32"/>
          <w:szCs w:val="32"/>
        </w:rPr>
        <w:t>万元，占35.08%，比上年预算数增加7956.77万元，主要是商品和服务类的预算数增加；政府性基金收入</w:t>
      </w:r>
      <w:r>
        <w:rPr>
          <w:rFonts w:ascii="仿宋" w:hAnsi="仿宋" w:eastAsia="仿宋" w:cs="仿宋_GB2312"/>
          <w:sz w:val="32"/>
          <w:szCs w:val="32"/>
        </w:rPr>
        <w:t>27,773.68</w:t>
      </w:r>
      <w:r>
        <w:rPr>
          <w:rFonts w:hint="eastAsia" w:ascii="仿宋" w:hAnsi="仿宋" w:eastAsia="仿宋"/>
          <w:sz w:val="32"/>
          <w:szCs w:val="32"/>
        </w:rPr>
        <w:t>万元，占50.97%，比上年预算数减少35211.24万元，主要是2024年PPP付费项目减少。</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b/>
          <w:sz w:val="32"/>
          <w:szCs w:val="32"/>
        </w:rPr>
        <w:t>海口市市政管理局（海口市综合行政执法局）</w:t>
      </w:r>
      <w:r>
        <w:rPr>
          <w:rFonts w:hint="eastAsia" w:ascii="黑体" w:hAnsi="黑体" w:eastAsia="黑体"/>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海口市市政管理局（海口市综合行政执法局）2024</w:t>
      </w:r>
      <w:r>
        <w:rPr>
          <w:rFonts w:hint="eastAsia" w:ascii="仿宋" w:hAnsi="仿宋" w:eastAsia="仿宋"/>
          <w:sz w:val="32"/>
          <w:szCs w:val="32"/>
        </w:rPr>
        <w:t>年支出预算</w:t>
      </w:r>
      <w:r>
        <w:rPr>
          <w:rFonts w:ascii="仿宋" w:hAnsi="仿宋" w:eastAsia="仿宋" w:cs="仿宋_GB2312"/>
          <w:sz w:val="32"/>
          <w:szCs w:val="32"/>
        </w:rPr>
        <w:t>54,494.16</w:t>
      </w:r>
      <w:r>
        <w:rPr>
          <w:rFonts w:hint="eastAsia" w:ascii="仿宋" w:hAnsi="仿宋" w:eastAsia="仿宋"/>
          <w:sz w:val="32"/>
          <w:szCs w:val="32"/>
        </w:rPr>
        <w:t>万元，其中：基本支出</w:t>
      </w:r>
      <w:r>
        <w:rPr>
          <w:rFonts w:hint="eastAsia" w:ascii="仿宋" w:hAnsi="仿宋" w:eastAsia="仿宋" w:cs="仿宋_GB2312"/>
          <w:sz w:val="32"/>
          <w:szCs w:val="32"/>
        </w:rPr>
        <w:t>1278.36</w:t>
      </w:r>
      <w:r>
        <w:rPr>
          <w:rFonts w:hint="eastAsia" w:ascii="仿宋" w:hAnsi="仿宋" w:eastAsia="仿宋"/>
          <w:sz w:val="32"/>
          <w:szCs w:val="32"/>
        </w:rPr>
        <w:t>万元，占2.35%，比上年预算数</w:t>
      </w:r>
      <w:r>
        <w:rPr>
          <w:rFonts w:hint="eastAsia" w:ascii="仿宋" w:hAnsi="仿宋" w:eastAsia="仿宋" w:cs="仿宋_GB2312"/>
          <w:sz w:val="32"/>
          <w:szCs w:val="32"/>
        </w:rPr>
        <w:t>增加110.29</w:t>
      </w:r>
      <w:r>
        <w:rPr>
          <w:rFonts w:hint="eastAsia" w:ascii="仿宋" w:hAnsi="仿宋" w:eastAsia="仿宋"/>
          <w:sz w:val="32"/>
          <w:szCs w:val="32"/>
        </w:rPr>
        <w:t>万元，</w:t>
      </w:r>
      <w:r>
        <w:rPr>
          <w:rFonts w:hint="eastAsia" w:ascii="仿宋_GB2312" w:hAnsi="黑体" w:eastAsia="仿宋_GB2312"/>
          <w:sz w:val="32"/>
          <w:szCs w:val="32"/>
        </w:rPr>
        <w:t>主要是人员经费增加</w:t>
      </w:r>
      <w:r>
        <w:rPr>
          <w:rFonts w:hint="eastAsia" w:ascii="仿宋" w:hAnsi="仿宋" w:eastAsia="仿宋"/>
          <w:sz w:val="32"/>
          <w:szCs w:val="32"/>
        </w:rPr>
        <w:t>；项目支出</w:t>
      </w:r>
      <w:r>
        <w:rPr>
          <w:rFonts w:ascii="仿宋" w:hAnsi="仿宋" w:eastAsia="仿宋" w:cs="仿宋_GB2312"/>
          <w:sz w:val="32"/>
          <w:szCs w:val="32"/>
        </w:rPr>
        <w:t>53,215.80</w:t>
      </w:r>
      <w:r>
        <w:rPr>
          <w:rFonts w:hint="eastAsia" w:ascii="仿宋" w:hAnsi="仿宋" w:eastAsia="仿宋"/>
          <w:sz w:val="32"/>
          <w:szCs w:val="32"/>
        </w:rPr>
        <w:t>万元，占97.65%，比上年预算数</w:t>
      </w:r>
      <w:r>
        <w:rPr>
          <w:rFonts w:hint="eastAsia" w:ascii="仿宋" w:hAnsi="仿宋" w:eastAsia="仿宋" w:cs="仿宋_GB2312"/>
          <w:sz w:val="32"/>
          <w:szCs w:val="32"/>
        </w:rPr>
        <w:t>减少23308.31</w:t>
      </w:r>
      <w:r>
        <w:rPr>
          <w:rFonts w:hint="eastAsia" w:ascii="仿宋" w:hAnsi="仿宋" w:eastAsia="仿宋"/>
          <w:sz w:val="32"/>
          <w:szCs w:val="32"/>
        </w:rPr>
        <w:t>万元，主要是2024年PPP付费项目</w:t>
      </w:r>
      <w:r>
        <w:rPr>
          <w:rFonts w:hint="eastAsia" w:ascii="仿宋" w:hAnsi="仿宋" w:eastAsia="仿宋" w:cs="仿宋_GB2312"/>
          <w:sz w:val="32"/>
          <w:szCs w:val="32"/>
        </w:rPr>
        <w:t>减少</w:t>
      </w:r>
      <w:r>
        <w:rPr>
          <w:rFonts w:hint="eastAsia" w:ascii="仿宋" w:hAnsi="仿宋" w:eastAsia="仿宋"/>
          <w:sz w:val="32"/>
          <w:szCs w:val="32"/>
        </w:rPr>
        <w:t>。</w:t>
      </w:r>
    </w:p>
    <w:p>
      <w:pPr>
        <w:spacing w:line="60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7"/>
        <w:spacing w:line="600" w:lineRule="exact"/>
        <w:ind w:firstLine="640"/>
        <w:rPr>
          <w:rFonts w:ascii="仿宋" w:hAnsi="仿宋" w:eastAsia="仿宋"/>
          <w:sz w:val="32"/>
          <w:szCs w:val="32"/>
        </w:rPr>
      </w:pPr>
      <w:r>
        <w:rPr>
          <w:rFonts w:hint="eastAsia" w:ascii="仿宋" w:hAnsi="仿宋" w:eastAsia="仿宋" w:cs="仿宋_GB2312"/>
          <w:sz w:val="32"/>
          <w:szCs w:val="32"/>
        </w:rPr>
        <w:t>2024</w:t>
      </w:r>
      <w:r>
        <w:rPr>
          <w:rFonts w:hint="eastAsia" w:ascii="仿宋" w:hAnsi="仿宋" w:eastAsia="仿宋"/>
          <w:sz w:val="32"/>
          <w:szCs w:val="32"/>
        </w:rPr>
        <w:t>年</w:t>
      </w:r>
      <w:r>
        <w:rPr>
          <w:rFonts w:hint="eastAsia" w:ascii="仿宋" w:hAnsi="仿宋" w:eastAsia="仿宋" w:cs="仿宋_GB2312"/>
          <w:sz w:val="32"/>
          <w:szCs w:val="32"/>
        </w:rPr>
        <w:t>海口市市政管理局（海口市综合行政执法局）（本级）</w:t>
      </w:r>
      <w:r>
        <w:rPr>
          <w:rFonts w:hint="eastAsia" w:ascii="仿宋" w:hAnsi="仿宋" w:eastAsia="仿宋" w:cs="仿宋_GB2312"/>
          <w:color w:val="000000" w:themeColor="text1"/>
          <w:sz w:val="32"/>
          <w:szCs w:val="32"/>
        </w:rPr>
        <w:t>机关运行经费预</w:t>
      </w:r>
      <w:r>
        <w:rPr>
          <w:rFonts w:hint="eastAsia" w:ascii="仿宋" w:hAnsi="仿宋" w:eastAsia="仿宋" w:cs="仿宋_GB2312"/>
          <w:sz w:val="32"/>
          <w:szCs w:val="32"/>
        </w:rPr>
        <w:t>算</w:t>
      </w:r>
      <w:r>
        <w:rPr>
          <w:rFonts w:ascii="仿宋" w:hAnsi="仿宋" w:eastAsia="仿宋" w:cs="仿宋_GB2312"/>
          <w:sz w:val="32"/>
          <w:szCs w:val="32"/>
        </w:rPr>
        <w:t>109.52</w:t>
      </w:r>
      <w:r>
        <w:rPr>
          <w:rFonts w:hint="eastAsia" w:ascii="仿宋" w:hAnsi="仿宋" w:eastAsia="仿宋"/>
          <w:sz w:val="32"/>
          <w:szCs w:val="32"/>
        </w:rPr>
        <w:t>万</w:t>
      </w:r>
      <w:r>
        <w:rPr>
          <w:rFonts w:hint="eastAsia" w:ascii="仿宋" w:hAnsi="仿宋" w:eastAsia="仿宋"/>
          <w:color w:val="000000" w:themeColor="text1"/>
          <w:sz w:val="32"/>
          <w:szCs w:val="32"/>
        </w:rPr>
        <w:t>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600" w:lineRule="exact"/>
        <w:ind w:firstLine="640"/>
        <w:rPr>
          <w:rFonts w:ascii="仿宋" w:hAnsi="仿宋" w:eastAsia="仿宋"/>
          <w:sz w:val="32"/>
          <w:szCs w:val="32"/>
        </w:rPr>
      </w:pPr>
      <w:r>
        <w:rPr>
          <w:rFonts w:hint="eastAsia" w:ascii="仿宋" w:hAnsi="仿宋" w:eastAsia="仿宋" w:cs="仿宋_GB2312"/>
          <w:sz w:val="32"/>
          <w:szCs w:val="32"/>
        </w:rPr>
        <w:t>2024</w:t>
      </w:r>
      <w:r>
        <w:rPr>
          <w:rFonts w:hint="eastAsia" w:ascii="仿宋" w:hAnsi="仿宋" w:eastAsia="仿宋"/>
          <w:sz w:val="32"/>
          <w:szCs w:val="32"/>
        </w:rPr>
        <w:t>年</w:t>
      </w:r>
      <w:r>
        <w:rPr>
          <w:rFonts w:hint="eastAsia" w:ascii="仿宋" w:hAnsi="仿宋" w:eastAsia="仿宋" w:cs="仿宋_GB2312"/>
          <w:sz w:val="32"/>
          <w:szCs w:val="32"/>
        </w:rPr>
        <w:t>海口市市政管理局（海口市综合行政执法局）单位本级政府采购预算总额230.75</w:t>
      </w:r>
      <w:r>
        <w:rPr>
          <w:rFonts w:hint="eastAsia" w:ascii="仿宋" w:hAnsi="仿宋" w:eastAsia="仿宋"/>
          <w:sz w:val="32"/>
          <w:szCs w:val="32"/>
        </w:rPr>
        <w:t>万元，其中：政府采购货物预算</w:t>
      </w:r>
      <w:r>
        <w:rPr>
          <w:rFonts w:hint="eastAsia" w:ascii="仿宋" w:hAnsi="仿宋" w:eastAsia="仿宋" w:cs="仿宋_GB2312"/>
          <w:sz w:val="32"/>
          <w:szCs w:val="32"/>
        </w:rPr>
        <w:t>0</w:t>
      </w:r>
      <w:r>
        <w:rPr>
          <w:rFonts w:hint="eastAsia" w:ascii="仿宋" w:hAnsi="仿宋" w:eastAsia="仿宋"/>
          <w:sz w:val="32"/>
          <w:szCs w:val="32"/>
        </w:rPr>
        <w:t>万元，政府采购工程预算</w:t>
      </w:r>
      <w:r>
        <w:rPr>
          <w:rFonts w:hint="eastAsia" w:ascii="仿宋" w:hAnsi="仿宋" w:eastAsia="仿宋" w:cs="仿宋_GB2312"/>
          <w:sz w:val="32"/>
          <w:szCs w:val="32"/>
        </w:rPr>
        <w:t>0</w:t>
      </w:r>
      <w:r>
        <w:rPr>
          <w:rFonts w:hint="eastAsia" w:ascii="仿宋" w:hAnsi="仿宋" w:eastAsia="仿宋"/>
          <w:sz w:val="32"/>
          <w:szCs w:val="32"/>
        </w:rPr>
        <w:t>万元，政府采购服务预算</w:t>
      </w:r>
      <w:r>
        <w:rPr>
          <w:rFonts w:hint="eastAsia" w:ascii="仿宋" w:hAnsi="仿宋" w:eastAsia="仿宋" w:cs="仿宋_GB2312"/>
          <w:sz w:val="32"/>
          <w:szCs w:val="32"/>
        </w:rPr>
        <w:t>230.75</w:t>
      </w:r>
      <w:r>
        <w:rPr>
          <w:rFonts w:hint="eastAsia" w:ascii="仿宋" w:hAnsi="仿宋" w:eastAsia="仿宋"/>
          <w:sz w:val="32"/>
          <w:szCs w:val="32"/>
        </w:rPr>
        <w:t>万元。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截至2023</w:t>
      </w:r>
      <w:r>
        <w:rPr>
          <w:rFonts w:hint="eastAsia" w:ascii="仿宋" w:hAnsi="仿宋" w:eastAsia="仿宋"/>
          <w:sz w:val="32"/>
          <w:szCs w:val="32"/>
        </w:rPr>
        <w:t>年12月31日，</w:t>
      </w:r>
      <w:r>
        <w:rPr>
          <w:rFonts w:hint="eastAsia" w:ascii="仿宋" w:hAnsi="仿宋" w:eastAsia="仿宋" w:cs="仿宋_GB2312"/>
          <w:color w:val="000000" w:themeColor="text1"/>
          <w:sz w:val="32"/>
          <w:szCs w:val="32"/>
        </w:rPr>
        <w:t>海口市市政管理局（海口市综合行政执法局）</w:t>
      </w:r>
      <w:r>
        <w:rPr>
          <w:rFonts w:hint="eastAsia" w:ascii="仿宋" w:hAnsi="仿宋" w:eastAsia="仿宋" w:cs="仿宋_GB2312"/>
          <w:sz w:val="32"/>
          <w:szCs w:val="32"/>
        </w:rPr>
        <w:t>本级共有车辆</w:t>
      </w:r>
      <w:r>
        <w:rPr>
          <w:rFonts w:hint="eastAsia" w:ascii="仿宋" w:hAnsi="仿宋" w:eastAsia="仿宋" w:cs="仿宋_GB2312"/>
          <w:color w:val="000000" w:themeColor="text1"/>
          <w:sz w:val="32"/>
          <w:szCs w:val="32"/>
        </w:rPr>
        <w:t>14</w:t>
      </w:r>
      <w:r>
        <w:rPr>
          <w:rFonts w:hint="eastAsia" w:ascii="仿宋" w:hAnsi="仿宋" w:eastAsia="仿宋" w:cs="仿宋_GB2312"/>
          <w:sz w:val="32"/>
          <w:szCs w:val="32"/>
        </w:rPr>
        <w:t>辆，其中，领导干部用车0辆，机要通信应急用车0辆、</w:t>
      </w:r>
      <w:r>
        <w:rPr>
          <w:rFonts w:hint="eastAsia" w:ascii="仿宋" w:hAnsi="仿宋" w:eastAsia="仿宋" w:cs="仿宋_GB2312"/>
          <w:color w:val="000000" w:themeColor="text1"/>
          <w:sz w:val="32"/>
          <w:szCs w:val="32"/>
        </w:rPr>
        <w:t>一般公务用车2辆，</w:t>
      </w:r>
      <w:r>
        <w:rPr>
          <w:rFonts w:hint="eastAsia" w:ascii="仿宋" w:hAnsi="仿宋" w:eastAsia="仿宋" w:cs="仿宋_GB2312"/>
          <w:sz w:val="32"/>
          <w:szCs w:val="32"/>
        </w:rPr>
        <w:t>一般执法执勤用车12辆、特种专业技术用车0辆、其他用车0辆。单位价值100万元以上设备0台（套）。</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600" w:lineRule="exact"/>
        <w:ind w:firstLine="640" w:firstLineChars="200"/>
        <w:jc w:val="both"/>
        <w:rPr>
          <w:rFonts w:ascii="仿宋" w:hAnsi="仿宋" w:eastAsia="仿宋"/>
          <w:sz w:val="32"/>
          <w:szCs w:val="32"/>
        </w:rPr>
      </w:pPr>
      <w:r>
        <w:rPr>
          <w:rFonts w:hint="eastAsia" w:ascii="仿宋" w:hAnsi="仿宋" w:eastAsia="仿宋" w:cs="仿宋_GB2312"/>
          <w:sz w:val="32"/>
          <w:szCs w:val="32"/>
        </w:rPr>
        <w:t>2024</w:t>
      </w:r>
      <w:r>
        <w:rPr>
          <w:rFonts w:hint="eastAsia" w:ascii="仿宋" w:hAnsi="仿宋" w:eastAsia="仿宋"/>
          <w:sz w:val="32"/>
          <w:szCs w:val="32"/>
        </w:rPr>
        <w:t>年</w:t>
      </w:r>
      <w:r>
        <w:rPr>
          <w:rFonts w:hint="eastAsia" w:ascii="仿宋" w:hAnsi="仿宋" w:eastAsia="仿宋" w:cs="仿宋_GB2312"/>
          <w:sz w:val="32"/>
          <w:szCs w:val="32"/>
        </w:rPr>
        <w:t>海口市市政管理局（海口市综合行政执法局）单位26个项目实行绩效目标管理，涉及一般公共预算</w:t>
      </w:r>
      <w:r>
        <w:rPr>
          <w:rFonts w:ascii="仿宋" w:hAnsi="仿宋" w:eastAsia="仿宋" w:cs="仿宋_GB2312"/>
          <w:sz w:val="32"/>
          <w:szCs w:val="32"/>
        </w:rPr>
        <w:t>17,839.48</w:t>
      </w:r>
      <w:r>
        <w:rPr>
          <w:rFonts w:hint="eastAsia" w:ascii="仿宋" w:hAnsi="仿宋" w:eastAsia="仿宋"/>
          <w:sz w:val="32"/>
          <w:szCs w:val="32"/>
        </w:rPr>
        <w:t>万元、政府性基金</w:t>
      </w:r>
      <w:r>
        <w:rPr>
          <w:rFonts w:ascii="仿宋" w:hAnsi="仿宋" w:eastAsia="仿宋" w:cs="仿宋_GB2312"/>
          <w:sz w:val="32"/>
          <w:szCs w:val="32"/>
        </w:rPr>
        <w:t>27,773.68</w:t>
      </w:r>
      <w:r>
        <w:rPr>
          <w:rFonts w:hint="eastAsia" w:ascii="仿宋" w:hAnsi="仿宋" w:eastAsia="仿宋"/>
          <w:sz w:val="32"/>
          <w:szCs w:val="32"/>
        </w:rPr>
        <w:t>万元。</w:t>
      </w:r>
    </w:p>
    <w:p>
      <w:pPr>
        <w:spacing w:line="600" w:lineRule="exact"/>
        <w:jc w:val="center"/>
        <w:rPr>
          <w:rFonts w:ascii="黑体" w:hAnsi="黑体" w:eastAsia="黑体"/>
          <w:sz w:val="32"/>
          <w:szCs w:val="32"/>
        </w:rPr>
      </w:pPr>
    </w:p>
    <w:p>
      <w:pPr>
        <w:spacing w:line="600" w:lineRule="exact"/>
        <w:rPr>
          <w:rFonts w:ascii="仿宋_GB2312" w:hAnsi="宋体" w:eastAsia="仿宋_GB2312" w:cs="宋体"/>
          <w:color w:val="000000"/>
          <w:sz w:val="32"/>
          <w:szCs w:val="30"/>
        </w:rPr>
      </w:pPr>
    </w:p>
    <w:p>
      <w:pPr>
        <w:spacing w:line="60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600" w:lineRule="exact"/>
        <w:ind w:firstLine="640" w:firstLineChars="200"/>
        <w:rPr>
          <w:rFonts w:ascii="仿宋_GB2312" w:eastAsia="仿宋_GB2312" w:cs="宋体"/>
          <w:bCs/>
          <w:color w:val="000000"/>
          <w:sz w:val="32"/>
          <w:szCs w:val="32"/>
          <w:lang w:val="zh-CN"/>
        </w:rPr>
      </w:pP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一、财政拨款收入：指本级财政当年拨付的资金。</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二、事业收入：指事业单位开展专业业务活动及辅助活动取得的收入。</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三、经营收入：指事业单位在专业业务活动及其辅助活动之外开展非独立核算经营活动取得的收入。</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四、其他收入：指除上述“财政拨款收入”“事业收入”“经营收入”等以外的收入。</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五、年初结转和结余：指以前年度尚未完成、结转到本年按有关规定继续使用的资金。</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 xml:space="preserve">六、基本支出：指行政事业单位用于为保障其机构正常运转、完成日常工作任务而发生的人员支出和公用支出。   </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七、工资福利支出：反映单位开支的在职职工和编制外长期聘用人员的各类劳动报酬，以及为上述人员缴纳的各项社会保险费等。</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八、对个人和家庭的补助支出：反映政府用于对个人和家庭的补助支出，包括离休费、退休费、退职（役）费、抚恤金、生活补助、救济费、医疗费补助、助学金、独生子女奖励金、其他等。</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十、项目支出：指各部门、各单位为完成其特定的工作任务和事业发展目标所发生的支出。</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600" w:lineRule="exact"/>
        <w:ind w:firstLine="640" w:firstLineChars="200"/>
        <w:rPr>
          <w:rFonts w:ascii="仿宋" w:hAnsi="仿宋" w:eastAsia="仿宋" w:cs="宋体"/>
          <w:color w:val="000000"/>
          <w:sz w:val="32"/>
          <w:szCs w:val="30"/>
        </w:rPr>
      </w:pPr>
      <w:r>
        <w:rPr>
          <w:rFonts w:hint="eastAsia" w:ascii="仿宋" w:hAnsi="仿宋" w:eastAsia="仿宋" w:cs="宋体"/>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600" w:lineRule="exact"/>
        <w:ind w:firstLine="640" w:firstLineChars="200"/>
        <w:rPr>
          <w:rFonts w:ascii="仿宋" w:hAnsi="仿宋" w:eastAsia="仿宋" w:cs="宋体"/>
          <w:color w:val="000000"/>
          <w:sz w:val="32"/>
          <w:szCs w:val="30"/>
        </w:rPr>
      </w:pPr>
    </w:p>
    <w:p>
      <w:pPr>
        <w:spacing w:line="600" w:lineRule="exact"/>
        <w:rPr>
          <w:rFonts w:ascii="仿宋" w:hAnsi="仿宋" w:eastAsia="仿宋"/>
        </w:rPr>
      </w:pPr>
    </w:p>
    <w:p>
      <w:pPr>
        <w:spacing w:line="600" w:lineRule="exact"/>
        <w:jc w:val="cente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4"/>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ED6894"/>
    <w:multiLevelType w:val="multilevel"/>
    <w:tmpl w:val="41ED6894"/>
    <w:lvl w:ilvl="0" w:tentative="0">
      <w:start w:val="1"/>
      <w:numFmt w:val="japaneseCounting"/>
      <w:lvlText w:val="%1、"/>
      <w:lvlJc w:val="left"/>
      <w:pPr>
        <w:ind w:left="862" w:hanging="720"/>
      </w:pPr>
      <w:rPr>
        <w:rFonts w:hint="default" w:ascii="仿宋" w:hAnsi="仿宋"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862" w:hanging="720"/>
      </w:pPr>
      <w:rPr>
        <w:rFonts w:hint="default" w:ascii="仿宋" w:hAnsi="仿宋" w:eastAsia="仿宋" w:cs="仿宋_GB2312"/>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5A4B52"/>
    <w:rsid w:val="00003009"/>
    <w:rsid w:val="00004768"/>
    <w:rsid w:val="00017DD5"/>
    <w:rsid w:val="0003799F"/>
    <w:rsid w:val="000426B3"/>
    <w:rsid w:val="000730C4"/>
    <w:rsid w:val="00077886"/>
    <w:rsid w:val="00081AE5"/>
    <w:rsid w:val="000A1006"/>
    <w:rsid w:val="000A6553"/>
    <w:rsid w:val="000A7666"/>
    <w:rsid w:val="000C0D0A"/>
    <w:rsid w:val="000D18F2"/>
    <w:rsid w:val="000E0F26"/>
    <w:rsid w:val="000E144C"/>
    <w:rsid w:val="000E578B"/>
    <w:rsid w:val="000F1011"/>
    <w:rsid w:val="000F35E3"/>
    <w:rsid w:val="000F5BB8"/>
    <w:rsid w:val="00107D02"/>
    <w:rsid w:val="00141B1C"/>
    <w:rsid w:val="0016465E"/>
    <w:rsid w:val="00180780"/>
    <w:rsid w:val="00185EFD"/>
    <w:rsid w:val="001A6AFC"/>
    <w:rsid w:val="001B6D24"/>
    <w:rsid w:val="001D6D19"/>
    <w:rsid w:val="001E55F1"/>
    <w:rsid w:val="001F21F6"/>
    <w:rsid w:val="0020118A"/>
    <w:rsid w:val="002159E2"/>
    <w:rsid w:val="00227331"/>
    <w:rsid w:val="002353D4"/>
    <w:rsid w:val="002532E2"/>
    <w:rsid w:val="002700E9"/>
    <w:rsid w:val="002708FA"/>
    <w:rsid w:val="002778B2"/>
    <w:rsid w:val="00281629"/>
    <w:rsid w:val="0028775F"/>
    <w:rsid w:val="002A3916"/>
    <w:rsid w:val="002B034C"/>
    <w:rsid w:val="002C4FCC"/>
    <w:rsid w:val="002D4238"/>
    <w:rsid w:val="002D53E3"/>
    <w:rsid w:val="002D592B"/>
    <w:rsid w:val="002E6612"/>
    <w:rsid w:val="002F1572"/>
    <w:rsid w:val="003028AB"/>
    <w:rsid w:val="003120B5"/>
    <w:rsid w:val="00315462"/>
    <w:rsid w:val="00341FCD"/>
    <w:rsid w:val="00344132"/>
    <w:rsid w:val="003553DD"/>
    <w:rsid w:val="00371715"/>
    <w:rsid w:val="003836FF"/>
    <w:rsid w:val="00385200"/>
    <w:rsid w:val="00392F93"/>
    <w:rsid w:val="003A096B"/>
    <w:rsid w:val="003B206A"/>
    <w:rsid w:val="003B569F"/>
    <w:rsid w:val="003B5B85"/>
    <w:rsid w:val="003C23C5"/>
    <w:rsid w:val="003D4D37"/>
    <w:rsid w:val="003F0DFE"/>
    <w:rsid w:val="003F2AF7"/>
    <w:rsid w:val="004166F3"/>
    <w:rsid w:val="00426392"/>
    <w:rsid w:val="004326FF"/>
    <w:rsid w:val="00480D73"/>
    <w:rsid w:val="0049256B"/>
    <w:rsid w:val="004936D7"/>
    <w:rsid w:val="00497012"/>
    <w:rsid w:val="004A7BD0"/>
    <w:rsid w:val="004B76F0"/>
    <w:rsid w:val="004E5C12"/>
    <w:rsid w:val="004F7368"/>
    <w:rsid w:val="00511DC7"/>
    <w:rsid w:val="0053448C"/>
    <w:rsid w:val="00553A71"/>
    <w:rsid w:val="00554B62"/>
    <w:rsid w:val="00561112"/>
    <w:rsid w:val="0057501E"/>
    <w:rsid w:val="00576A4A"/>
    <w:rsid w:val="005975BB"/>
    <w:rsid w:val="005A4B52"/>
    <w:rsid w:val="005A6B6A"/>
    <w:rsid w:val="005A6CF9"/>
    <w:rsid w:val="005B0D9B"/>
    <w:rsid w:val="005B6766"/>
    <w:rsid w:val="005C1B5E"/>
    <w:rsid w:val="005C1BB5"/>
    <w:rsid w:val="005F2D8B"/>
    <w:rsid w:val="005F3423"/>
    <w:rsid w:val="00601B88"/>
    <w:rsid w:val="00612871"/>
    <w:rsid w:val="00614C5D"/>
    <w:rsid w:val="00614E43"/>
    <w:rsid w:val="00615D0F"/>
    <w:rsid w:val="006604F4"/>
    <w:rsid w:val="00681F60"/>
    <w:rsid w:val="006A179F"/>
    <w:rsid w:val="006A1B31"/>
    <w:rsid w:val="006A56AC"/>
    <w:rsid w:val="006A5E22"/>
    <w:rsid w:val="006B51F2"/>
    <w:rsid w:val="006C60B4"/>
    <w:rsid w:val="006C7BAE"/>
    <w:rsid w:val="006D3870"/>
    <w:rsid w:val="00716268"/>
    <w:rsid w:val="00720D9F"/>
    <w:rsid w:val="00722F20"/>
    <w:rsid w:val="007261D8"/>
    <w:rsid w:val="00740816"/>
    <w:rsid w:val="00741E68"/>
    <w:rsid w:val="00741F42"/>
    <w:rsid w:val="007537FB"/>
    <w:rsid w:val="00762ACC"/>
    <w:rsid w:val="007878B0"/>
    <w:rsid w:val="00791AC3"/>
    <w:rsid w:val="00791C24"/>
    <w:rsid w:val="0079230E"/>
    <w:rsid w:val="00793DB8"/>
    <w:rsid w:val="00797BF3"/>
    <w:rsid w:val="008255E8"/>
    <w:rsid w:val="0083707B"/>
    <w:rsid w:val="00845413"/>
    <w:rsid w:val="00851573"/>
    <w:rsid w:val="00861AD3"/>
    <w:rsid w:val="00882E69"/>
    <w:rsid w:val="008A04D7"/>
    <w:rsid w:val="008C4491"/>
    <w:rsid w:val="008D645F"/>
    <w:rsid w:val="00901F55"/>
    <w:rsid w:val="009074FE"/>
    <w:rsid w:val="00923695"/>
    <w:rsid w:val="0094276C"/>
    <w:rsid w:val="0095630C"/>
    <w:rsid w:val="009644F6"/>
    <w:rsid w:val="009675EB"/>
    <w:rsid w:val="00983059"/>
    <w:rsid w:val="00991BDA"/>
    <w:rsid w:val="009A569B"/>
    <w:rsid w:val="009A75BE"/>
    <w:rsid w:val="009B40ED"/>
    <w:rsid w:val="009B64DF"/>
    <w:rsid w:val="009F6820"/>
    <w:rsid w:val="00A00B17"/>
    <w:rsid w:val="00A010BB"/>
    <w:rsid w:val="00A2140A"/>
    <w:rsid w:val="00A31FFB"/>
    <w:rsid w:val="00A41983"/>
    <w:rsid w:val="00A5417D"/>
    <w:rsid w:val="00A70C05"/>
    <w:rsid w:val="00A84DC4"/>
    <w:rsid w:val="00A966DA"/>
    <w:rsid w:val="00AA57B2"/>
    <w:rsid w:val="00AC6D1E"/>
    <w:rsid w:val="00AF22A5"/>
    <w:rsid w:val="00AF2B9C"/>
    <w:rsid w:val="00AF6D73"/>
    <w:rsid w:val="00B3288F"/>
    <w:rsid w:val="00B72434"/>
    <w:rsid w:val="00B747E9"/>
    <w:rsid w:val="00B75210"/>
    <w:rsid w:val="00B83BA9"/>
    <w:rsid w:val="00B843C9"/>
    <w:rsid w:val="00BA4415"/>
    <w:rsid w:val="00BA47A6"/>
    <w:rsid w:val="00BA4932"/>
    <w:rsid w:val="00BB622A"/>
    <w:rsid w:val="00BC4EE6"/>
    <w:rsid w:val="00BD0D25"/>
    <w:rsid w:val="00C16FDC"/>
    <w:rsid w:val="00C1703E"/>
    <w:rsid w:val="00C21919"/>
    <w:rsid w:val="00C53EF1"/>
    <w:rsid w:val="00C66C2F"/>
    <w:rsid w:val="00C87BD8"/>
    <w:rsid w:val="00C9534E"/>
    <w:rsid w:val="00CA07F4"/>
    <w:rsid w:val="00CC4179"/>
    <w:rsid w:val="00CC4B28"/>
    <w:rsid w:val="00CD1033"/>
    <w:rsid w:val="00CE7F6B"/>
    <w:rsid w:val="00CF7B03"/>
    <w:rsid w:val="00D07D1F"/>
    <w:rsid w:val="00D11AE0"/>
    <w:rsid w:val="00D15336"/>
    <w:rsid w:val="00D172A8"/>
    <w:rsid w:val="00D24901"/>
    <w:rsid w:val="00D86779"/>
    <w:rsid w:val="00DA0B79"/>
    <w:rsid w:val="00DA196C"/>
    <w:rsid w:val="00DB0F06"/>
    <w:rsid w:val="00DB32B8"/>
    <w:rsid w:val="00DC0A1E"/>
    <w:rsid w:val="00DD1D80"/>
    <w:rsid w:val="00DD724C"/>
    <w:rsid w:val="00DE08D6"/>
    <w:rsid w:val="00DE6056"/>
    <w:rsid w:val="00E12F90"/>
    <w:rsid w:val="00E2562C"/>
    <w:rsid w:val="00E27BF5"/>
    <w:rsid w:val="00E36C7F"/>
    <w:rsid w:val="00E5096A"/>
    <w:rsid w:val="00E86CDC"/>
    <w:rsid w:val="00E92A3B"/>
    <w:rsid w:val="00EA7326"/>
    <w:rsid w:val="00EB0BD5"/>
    <w:rsid w:val="00EB7067"/>
    <w:rsid w:val="00EC024A"/>
    <w:rsid w:val="00EC61EE"/>
    <w:rsid w:val="00ED7D8E"/>
    <w:rsid w:val="00F077EB"/>
    <w:rsid w:val="00F25362"/>
    <w:rsid w:val="00F356A1"/>
    <w:rsid w:val="00F44B61"/>
    <w:rsid w:val="00F560F4"/>
    <w:rsid w:val="00F61E6A"/>
    <w:rsid w:val="00F71FEB"/>
    <w:rsid w:val="00F8088B"/>
    <w:rsid w:val="00F9728E"/>
    <w:rsid w:val="00FD0D67"/>
    <w:rsid w:val="00FD7158"/>
    <w:rsid w:val="00FD7A6F"/>
    <w:rsid w:val="257D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customStyle="1" w:styleId="6">
    <w:name w:val="列出段落1"/>
    <w:basedOn w:val="1"/>
    <w:autoRedefine/>
    <w:qFormat/>
    <w:uiPriority w:val="34"/>
    <w:pPr>
      <w:ind w:firstLine="420" w:firstLineChars="200"/>
    </w:pPr>
  </w:style>
  <w:style w:type="paragraph" w:styleId="7">
    <w:name w:val="List Paragraph"/>
    <w:basedOn w:val="1"/>
    <w:autoRedefine/>
    <w:unhideWhenUsed/>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99E16D-8001-461B-B7D8-4D61D2C51C34}">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885</Words>
  <Characters>5048</Characters>
  <Lines>42</Lines>
  <Paragraphs>11</Paragraphs>
  <TotalTime>0</TotalTime>
  <ScaleCrop>false</ScaleCrop>
  <LinksUpToDate>false</LinksUpToDate>
  <CharactersWithSpaces>5922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2024-02-05T01:47:00Z</dcterms:created>
  <dc:creator>Administrator</dc:creator>
  <cp:lastModifiedBy>WPS_1668611021</cp:lastModifiedBy>
  <cp:lastPrinted>2022-03-03T09:02:00Z</cp:lastPrinted>
  <dcterms:modified xsi:type="dcterms:W3CDTF">2024-02-08T03:31:37Z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C7C78A6F49704B24ACE9AF34F89B1707_13</vt:lpwstr>
  </property>
</Properties>
</file>